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CB9" w:rsidRPr="00883454" w:rsidRDefault="00665CB9">
      <w:pPr>
        <w:widowControl w:val="0"/>
        <w:autoSpaceDE w:val="0"/>
        <w:autoSpaceDN w:val="0"/>
        <w:adjustRightInd w:val="0"/>
        <w:spacing w:after="0" w:line="240" w:lineRule="auto"/>
        <w:jc w:val="both"/>
        <w:rPr>
          <w:rFonts w:ascii="Georgia" w:hAnsi="Georgia" w:cs="Times New Roman"/>
          <w:color w:val="000000" w:themeColor="text1"/>
        </w:rPr>
      </w:pPr>
    </w:p>
    <w:p w:rsidR="00665CB9" w:rsidRPr="00883454" w:rsidRDefault="00665CB9">
      <w:pPr>
        <w:widowControl w:val="0"/>
        <w:autoSpaceDE w:val="0"/>
        <w:autoSpaceDN w:val="0"/>
        <w:adjustRightInd w:val="0"/>
        <w:spacing w:after="0" w:line="240" w:lineRule="auto"/>
        <w:rPr>
          <w:rFonts w:ascii="Georgia" w:hAnsi="Georgia" w:cs="Arial"/>
          <w:color w:val="000000" w:themeColor="text1"/>
        </w:rPr>
        <w:sectPr w:rsidR="00665CB9" w:rsidRPr="00883454" w:rsidSect="00883454">
          <w:footerReference w:type="default" r:id="rId6"/>
          <w:pgSz w:w="12240" w:h="15840"/>
          <w:pgMar w:top="2160" w:right="2160" w:bottom="2160" w:left="2160" w:header="720" w:footer="720" w:gutter="0"/>
          <w:cols w:space="720"/>
          <w:noEndnote/>
        </w:sectPr>
      </w:pPr>
    </w:p>
    <w:p w:rsidR="00A17CBF" w:rsidRDefault="00665CB9" w:rsidP="00A17CBF">
      <w:pPr>
        <w:widowControl w:val="0"/>
        <w:autoSpaceDE w:val="0"/>
        <w:autoSpaceDN w:val="0"/>
        <w:adjustRightInd w:val="0"/>
        <w:spacing w:before="200" w:after="0" w:line="240" w:lineRule="auto"/>
        <w:ind w:left="100" w:right="100"/>
        <w:jc w:val="center"/>
        <w:rPr>
          <w:rFonts w:ascii="Georgia" w:hAnsi="Georgia" w:cs="Georgia"/>
          <w:b/>
          <w:color w:val="000000" w:themeColor="text1"/>
          <w:sz w:val="32"/>
        </w:rPr>
      </w:pPr>
      <w:bookmarkStart w:id="0" w:name="co_document_1"/>
      <w:bookmarkStart w:id="1" w:name="Ib47565c86dec11e5b86bd602cb8781fa_Target"/>
      <w:bookmarkEnd w:id="0"/>
      <w:bookmarkEnd w:id="1"/>
      <w:r w:rsidRPr="00883454">
        <w:rPr>
          <w:rFonts w:ascii="Georgia" w:hAnsi="Georgia" w:cs="Georgia"/>
          <w:b/>
          <w:color w:val="000000" w:themeColor="text1"/>
          <w:sz w:val="32"/>
        </w:rPr>
        <w:lastRenderedPageBreak/>
        <w:t>BIKRAM’S YOGA COLLEGE OF INDIA, L.P.</w:t>
      </w:r>
      <w:r w:rsidR="00A17CBF" w:rsidRPr="00883454">
        <w:rPr>
          <w:rFonts w:ascii="Georgia" w:hAnsi="Georgia" w:cs="Georgia"/>
          <w:b/>
          <w:color w:val="000000" w:themeColor="text1"/>
          <w:sz w:val="32"/>
        </w:rPr>
        <w:t xml:space="preserve"> </w:t>
      </w:r>
      <w:r w:rsidRPr="00883454">
        <w:rPr>
          <w:rFonts w:ascii="Georgia" w:hAnsi="Georgia" w:cs="Georgia"/>
          <w:b/>
          <w:color w:val="000000" w:themeColor="text1"/>
          <w:sz w:val="32"/>
        </w:rPr>
        <w:t>v.</w:t>
      </w:r>
      <w:r w:rsidR="00A17CBF" w:rsidRPr="00883454">
        <w:rPr>
          <w:rFonts w:ascii="Georgia" w:hAnsi="Georgia" w:cs="Georgia"/>
          <w:b/>
          <w:color w:val="000000" w:themeColor="text1"/>
          <w:sz w:val="32"/>
        </w:rPr>
        <w:t xml:space="preserve"> </w:t>
      </w:r>
      <w:r w:rsidRPr="00883454">
        <w:rPr>
          <w:rFonts w:ascii="Georgia" w:hAnsi="Georgia" w:cs="Georgia"/>
          <w:b/>
          <w:color w:val="000000" w:themeColor="text1"/>
          <w:sz w:val="32"/>
        </w:rPr>
        <w:t>EVOLATION YOGA, LLC</w:t>
      </w:r>
    </w:p>
    <w:p w:rsidR="00883454" w:rsidRPr="00883454" w:rsidRDefault="00883454" w:rsidP="00883454">
      <w:pPr>
        <w:widowControl w:val="0"/>
        <w:autoSpaceDE w:val="0"/>
        <w:autoSpaceDN w:val="0"/>
        <w:adjustRightInd w:val="0"/>
        <w:spacing w:after="240" w:line="240" w:lineRule="auto"/>
        <w:ind w:left="101" w:hanging="101"/>
        <w:jc w:val="center"/>
        <w:rPr>
          <w:rFonts w:ascii="Georgia" w:hAnsi="Georgia" w:cs="Georgia"/>
          <w:b/>
          <w:color w:val="000000" w:themeColor="text1"/>
          <w:sz w:val="32"/>
        </w:rPr>
      </w:pPr>
      <w:r w:rsidRPr="00CA5868">
        <w:t>____________________________</w:t>
      </w:r>
      <w:r>
        <w:t>_________________________</w:t>
      </w:r>
    </w:p>
    <w:p w:rsidR="00883454" w:rsidRPr="00883454" w:rsidRDefault="00883454" w:rsidP="00A17CBF">
      <w:pPr>
        <w:widowControl w:val="0"/>
        <w:autoSpaceDE w:val="0"/>
        <w:autoSpaceDN w:val="0"/>
        <w:adjustRightInd w:val="0"/>
        <w:spacing w:after="0" w:line="240" w:lineRule="auto"/>
        <w:jc w:val="center"/>
        <w:rPr>
          <w:rFonts w:ascii="Georgia" w:hAnsi="Georgia" w:cs="Georgia"/>
          <w:b/>
          <w:color w:val="000000" w:themeColor="text1"/>
        </w:rPr>
      </w:pPr>
      <w:r w:rsidRPr="00883454">
        <w:rPr>
          <w:rFonts w:ascii="Georgia" w:hAnsi="Georgia" w:cs="Georgia"/>
          <w:b/>
          <w:color w:val="000000" w:themeColor="text1"/>
        </w:rPr>
        <w:t>Court of Appeals for the Ninth Circuit, 2015</w:t>
      </w:r>
    </w:p>
    <w:p w:rsidR="00665CB9" w:rsidRPr="00883454" w:rsidRDefault="00883454" w:rsidP="00A17CBF">
      <w:pPr>
        <w:widowControl w:val="0"/>
        <w:autoSpaceDE w:val="0"/>
        <w:autoSpaceDN w:val="0"/>
        <w:adjustRightInd w:val="0"/>
        <w:spacing w:after="0" w:line="240" w:lineRule="auto"/>
        <w:jc w:val="center"/>
        <w:rPr>
          <w:rFonts w:ascii="Georgia" w:hAnsi="Georgia" w:cs="Georgia"/>
          <w:b/>
          <w:color w:val="000000" w:themeColor="text1"/>
        </w:rPr>
      </w:pPr>
      <w:r w:rsidRPr="00883454">
        <w:rPr>
          <w:rFonts w:ascii="Georgia" w:hAnsi="Georgia" w:cs="Georgia"/>
          <w:b/>
          <w:color w:val="000000" w:themeColor="text1"/>
        </w:rPr>
        <w:t>803 F.3d 1032</w:t>
      </w:r>
    </w:p>
    <w:p w:rsidR="00665CB9" w:rsidRPr="00883454" w:rsidRDefault="00665CB9">
      <w:pPr>
        <w:widowControl w:val="0"/>
        <w:autoSpaceDE w:val="0"/>
        <w:autoSpaceDN w:val="0"/>
        <w:adjustRightInd w:val="0"/>
        <w:spacing w:before="400" w:after="200" w:line="240" w:lineRule="auto"/>
        <w:jc w:val="center"/>
        <w:rPr>
          <w:rFonts w:ascii="Georgia" w:hAnsi="Georgia" w:cs="Times New Roman"/>
          <w:b/>
          <w:bCs/>
          <w:color w:val="000000" w:themeColor="text1"/>
        </w:rPr>
      </w:pPr>
      <w:bookmarkStart w:id="2" w:name="co_synopsis_1"/>
      <w:bookmarkEnd w:id="2"/>
      <w:r w:rsidRPr="00883454">
        <w:rPr>
          <w:rFonts w:ascii="Georgia" w:hAnsi="Georgia" w:cs="Times New Roman"/>
          <w:b/>
          <w:bCs/>
          <w:color w:val="000000" w:themeColor="text1"/>
        </w:rPr>
        <w:t>OPINION</w:t>
      </w:r>
    </w:p>
    <w:p w:rsidR="00665CB9" w:rsidRPr="00883454" w:rsidRDefault="009E063F" w:rsidP="00883454">
      <w:pPr>
        <w:widowControl w:val="0"/>
        <w:autoSpaceDE w:val="0"/>
        <w:autoSpaceDN w:val="0"/>
        <w:adjustRightInd w:val="0"/>
        <w:spacing w:before="200" w:after="200" w:line="240" w:lineRule="auto"/>
        <w:jc w:val="both"/>
        <w:rPr>
          <w:rFonts w:ascii="Georgia" w:hAnsi="Georgia" w:cs="Times New Roman"/>
          <w:color w:val="000000" w:themeColor="text1"/>
        </w:rPr>
      </w:pPr>
      <w:hyperlink r:id="rId7" w:history="1">
        <w:r w:rsidR="00665CB9" w:rsidRPr="00883454">
          <w:rPr>
            <w:rFonts w:ascii="Georgia" w:hAnsi="Georgia" w:cs="Times New Roman"/>
            <w:color w:val="000000" w:themeColor="text1"/>
          </w:rPr>
          <w:t>WARDLAW</w:t>
        </w:r>
      </w:hyperlink>
      <w:r w:rsidR="00665CB9" w:rsidRPr="00883454">
        <w:rPr>
          <w:rFonts w:ascii="Georgia" w:hAnsi="Georgia" w:cs="Times New Roman"/>
          <w:color w:val="000000" w:themeColor="text1"/>
        </w:rPr>
        <w:t>, Circuit Judge:</w:t>
      </w:r>
    </w:p>
    <w:p w:rsidR="00A17CBF" w:rsidRPr="00883454" w:rsidRDefault="00665CB9" w:rsidP="00883454">
      <w:pPr>
        <w:widowControl w:val="0"/>
        <w:autoSpaceDE w:val="0"/>
        <w:autoSpaceDN w:val="0"/>
        <w:adjustRightInd w:val="0"/>
        <w:spacing w:after="0" w:line="240" w:lineRule="auto"/>
        <w:ind w:firstLine="720"/>
        <w:jc w:val="both"/>
        <w:rPr>
          <w:rFonts w:ascii="Georgia" w:hAnsi="Georgia" w:cs="Times New Roman"/>
          <w:color w:val="000000" w:themeColor="text1"/>
        </w:rPr>
      </w:pPr>
      <w:r w:rsidRPr="00883454">
        <w:rPr>
          <w:rFonts w:ascii="Georgia" w:hAnsi="Georgia" w:cs="Times New Roman"/>
          <w:color w:val="000000" w:themeColor="text1"/>
        </w:rPr>
        <w:t xml:space="preserve">We must decide whether a sequence of twenty-six yoga poses and two breathing exercises developed by Bikram Choudhury and described in his 1979 book, </w:t>
      </w:r>
      <w:r w:rsidRPr="00883454">
        <w:rPr>
          <w:rFonts w:ascii="Georgia" w:hAnsi="Georgia" w:cs="Times New Roman"/>
          <w:i/>
          <w:iCs/>
          <w:color w:val="000000" w:themeColor="text1"/>
        </w:rPr>
        <w:t>Bikram’s Beginning Yoga Class,</w:t>
      </w:r>
      <w:r w:rsidRPr="00883454">
        <w:rPr>
          <w:rFonts w:ascii="Georgia" w:hAnsi="Georgia" w:cs="Times New Roman"/>
          <w:color w:val="000000" w:themeColor="text1"/>
        </w:rPr>
        <w:t xml:space="preserve"> is entitled to copyright protection. This question implicates a fundamental principle underlying constitutional and statutory copyright protection—the idea/expression dichotomy. Because copyright protection is limited to the expression of ideas, and does not extend to the ideas themselves, the Bikram Yoga Sequence is not a proper subject of copyright protection.</w:t>
      </w:r>
      <w:bookmarkStart w:id="3" w:name="co_anchor_I81e1a2af9f3111e598dc8b09b4f04"/>
      <w:bookmarkEnd w:id="3"/>
    </w:p>
    <w:p w:rsidR="00A17CBF" w:rsidRPr="00883454" w:rsidRDefault="00A17CBF" w:rsidP="00883454">
      <w:pPr>
        <w:widowControl w:val="0"/>
        <w:autoSpaceDE w:val="0"/>
        <w:autoSpaceDN w:val="0"/>
        <w:adjustRightInd w:val="0"/>
        <w:spacing w:after="0" w:line="240" w:lineRule="auto"/>
        <w:ind w:firstLine="720"/>
        <w:jc w:val="both"/>
        <w:rPr>
          <w:rFonts w:ascii="Georgia" w:hAnsi="Georgia" w:cs="Times New Roman"/>
          <w:color w:val="000000" w:themeColor="text1"/>
        </w:rPr>
      </w:pPr>
    </w:p>
    <w:p w:rsidR="00665CB9" w:rsidRDefault="00665CB9" w:rsidP="00883454">
      <w:pPr>
        <w:widowControl w:val="0"/>
        <w:autoSpaceDE w:val="0"/>
        <w:autoSpaceDN w:val="0"/>
        <w:adjustRightInd w:val="0"/>
        <w:spacing w:after="0" w:line="240" w:lineRule="auto"/>
        <w:jc w:val="center"/>
        <w:rPr>
          <w:rFonts w:ascii="Georgia" w:hAnsi="Georgia" w:cs="Times New Roman"/>
          <w:b/>
          <w:bCs/>
          <w:color w:val="000000" w:themeColor="text1"/>
        </w:rPr>
      </w:pPr>
      <w:r w:rsidRPr="00883454">
        <w:rPr>
          <w:rFonts w:ascii="Georgia" w:hAnsi="Georgia" w:cs="Times New Roman"/>
          <w:b/>
          <w:bCs/>
          <w:color w:val="000000" w:themeColor="text1"/>
        </w:rPr>
        <w:t>I. Factual and Procedural History</w:t>
      </w:r>
    </w:p>
    <w:p w:rsidR="00883454" w:rsidRPr="00883454" w:rsidRDefault="00883454" w:rsidP="00883454">
      <w:pPr>
        <w:widowControl w:val="0"/>
        <w:autoSpaceDE w:val="0"/>
        <w:autoSpaceDN w:val="0"/>
        <w:adjustRightInd w:val="0"/>
        <w:spacing w:after="0" w:line="240" w:lineRule="auto"/>
        <w:ind w:firstLine="720"/>
        <w:jc w:val="center"/>
        <w:rPr>
          <w:rFonts w:ascii="Georgia" w:hAnsi="Georgia" w:cs="Times New Roman"/>
          <w:b/>
          <w:bCs/>
          <w:color w:val="000000" w:themeColor="text1"/>
        </w:rPr>
      </w:pPr>
    </w:p>
    <w:p w:rsidR="00665CB9" w:rsidRPr="00883454" w:rsidRDefault="00665CB9" w:rsidP="00883454">
      <w:pPr>
        <w:widowControl w:val="0"/>
        <w:autoSpaceDE w:val="0"/>
        <w:autoSpaceDN w:val="0"/>
        <w:adjustRightInd w:val="0"/>
        <w:spacing w:after="0" w:line="240" w:lineRule="auto"/>
        <w:ind w:firstLine="720"/>
        <w:jc w:val="both"/>
        <w:rPr>
          <w:rFonts w:ascii="Georgia" w:hAnsi="Georgia" w:cs="Times New Roman"/>
          <w:color w:val="000000" w:themeColor="text1"/>
        </w:rPr>
      </w:pPr>
      <w:r w:rsidRPr="00883454">
        <w:rPr>
          <w:rFonts w:ascii="Georgia" w:hAnsi="Georgia" w:cs="Times New Roman"/>
          <w:color w:val="000000" w:themeColor="text1"/>
        </w:rPr>
        <w:t xml:space="preserve">The Indian practice and philosophy of yoga date back thousands of years. </w:t>
      </w:r>
      <w:r w:rsidRPr="00883454">
        <w:rPr>
          <w:rFonts w:ascii="Georgia" w:hAnsi="Georgia" w:cs="Times New Roman"/>
          <w:i/>
          <w:iCs/>
          <w:color w:val="000000" w:themeColor="text1"/>
        </w:rPr>
        <w:t>See</w:t>
      </w:r>
      <w:r w:rsidRPr="00883454">
        <w:rPr>
          <w:rFonts w:ascii="Georgia" w:hAnsi="Georgia" w:cs="Times New Roman"/>
          <w:color w:val="000000" w:themeColor="text1"/>
        </w:rPr>
        <w:t xml:space="preserve"> Linda </w:t>
      </w:r>
      <w:proofErr w:type="spellStart"/>
      <w:r w:rsidRPr="00883454">
        <w:rPr>
          <w:rFonts w:ascii="Georgia" w:hAnsi="Georgia" w:cs="Times New Roman"/>
          <w:color w:val="000000" w:themeColor="text1"/>
        </w:rPr>
        <w:t>Sparrowe</w:t>
      </w:r>
      <w:proofErr w:type="spellEnd"/>
      <w:r w:rsidRPr="00883454">
        <w:rPr>
          <w:rFonts w:ascii="Georgia" w:hAnsi="Georgia" w:cs="Times New Roman"/>
          <w:color w:val="000000" w:themeColor="text1"/>
        </w:rPr>
        <w:t xml:space="preserve">, </w:t>
      </w:r>
      <w:r w:rsidRPr="00883454">
        <w:rPr>
          <w:rFonts w:ascii="Georgia" w:hAnsi="Georgia" w:cs="Times New Roman"/>
          <w:i/>
          <w:iCs/>
          <w:color w:val="000000" w:themeColor="text1"/>
        </w:rPr>
        <w:t>Yoga</w:t>
      </w:r>
      <w:r w:rsidRPr="00883454">
        <w:rPr>
          <w:rFonts w:ascii="Georgia" w:hAnsi="Georgia" w:cs="Times New Roman"/>
          <w:color w:val="000000" w:themeColor="text1"/>
        </w:rPr>
        <w:t xml:space="preserve"> 9 (2002). Derived from ancient Hindu scriptures, including the Bhagavad Gita, the practice of yoga teaches students to attain spiritual fulfillment </w:t>
      </w:r>
      <w:bookmarkStart w:id="4" w:name="co_pp_sp_506_1035_1"/>
      <w:bookmarkEnd w:id="4"/>
      <w:r w:rsidRPr="00883454">
        <w:rPr>
          <w:rFonts w:ascii="Georgia" w:hAnsi="Georgia" w:cs="Times New Roman"/>
          <w:color w:val="000000" w:themeColor="text1"/>
        </w:rPr>
        <w:t xml:space="preserve">through control of the mind and body. </w:t>
      </w:r>
      <w:r w:rsidRPr="00883454">
        <w:rPr>
          <w:rFonts w:ascii="Georgia" w:hAnsi="Georgia" w:cs="Times New Roman"/>
          <w:i/>
          <w:iCs/>
          <w:color w:val="000000" w:themeColor="text1"/>
        </w:rPr>
        <w:t>See</w:t>
      </w:r>
      <w:r w:rsidRPr="00883454">
        <w:rPr>
          <w:rFonts w:ascii="Georgia" w:hAnsi="Georgia" w:cs="Times New Roman"/>
          <w:color w:val="000000" w:themeColor="text1"/>
        </w:rPr>
        <w:t xml:space="preserve"> Stefanie </w:t>
      </w:r>
      <w:proofErr w:type="spellStart"/>
      <w:r w:rsidRPr="00883454">
        <w:rPr>
          <w:rFonts w:ascii="Georgia" w:hAnsi="Georgia" w:cs="Times New Roman"/>
          <w:color w:val="000000" w:themeColor="text1"/>
        </w:rPr>
        <w:t>Syman</w:t>
      </w:r>
      <w:proofErr w:type="spellEnd"/>
      <w:r w:rsidRPr="00883454">
        <w:rPr>
          <w:rFonts w:ascii="Georgia" w:hAnsi="Georgia" w:cs="Times New Roman"/>
          <w:color w:val="000000" w:themeColor="text1"/>
        </w:rPr>
        <w:t xml:space="preserve">, </w:t>
      </w:r>
      <w:proofErr w:type="gramStart"/>
      <w:r w:rsidRPr="00883454">
        <w:rPr>
          <w:rFonts w:ascii="Georgia" w:hAnsi="Georgia" w:cs="Times New Roman"/>
          <w:i/>
          <w:iCs/>
          <w:color w:val="000000" w:themeColor="text1"/>
        </w:rPr>
        <w:t>The</w:t>
      </w:r>
      <w:proofErr w:type="gramEnd"/>
      <w:r w:rsidRPr="00883454">
        <w:rPr>
          <w:rFonts w:ascii="Georgia" w:hAnsi="Georgia" w:cs="Times New Roman"/>
          <w:i/>
          <w:iCs/>
          <w:color w:val="000000" w:themeColor="text1"/>
        </w:rPr>
        <w:t xml:space="preserve"> Subtle Body: The Story of Yoga in America</w:t>
      </w:r>
      <w:r w:rsidRPr="00883454">
        <w:rPr>
          <w:rFonts w:ascii="Georgia" w:hAnsi="Georgia" w:cs="Times New Roman"/>
          <w:color w:val="000000" w:themeColor="text1"/>
        </w:rPr>
        <w:t xml:space="preserve"> 4 (2010). Yoga has evolved into a diverse set of spiritual, philosophical, and physical disciplines. Some students practice yoga to transcend the physical body and unite with divine powers; others focus on improving strength, flexibility, and overall physical fitness.</w:t>
      </w:r>
    </w:p>
    <w:p w:rsidR="00665CB9" w:rsidRPr="00883454" w:rsidRDefault="00665CB9" w:rsidP="00883454">
      <w:pPr>
        <w:widowControl w:val="0"/>
        <w:autoSpaceDE w:val="0"/>
        <w:autoSpaceDN w:val="0"/>
        <w:adjustRightInd w:val="0"/>
        <w:spacing w:after="0" w:line="240" w:lineRule="auto"/>
        <w:ind w:firstLine="720"/>
        <w:jc w:val="both"/>
        <w:rPr>
          <w:rFonts w:ascii="Georgia" w:hAnsi="Georgia" w:cs="Times New Roman"/>
          <w:color w:val="000000" w:themeColor="text1"/>
        </w:rPr>
      </w:pPr>
      <w:r w:rsidRPr="00883454">
        <w:rPr>
          <w:rFonts w:ascii="Georgia" w:hAnsi="Georgia" w:cs="Times New Roman"/>
          <w:color w:val="000000" w:themeColor="text1"/>
        </w:rPr>
        <w:t> </w:t>
      </w:r>
    </w:p>
    <w:p w:rsidR="00665CB9" w:rsidRPr="00883454" w:rsidRDefault="00665CB9" w:rsidP="00883454">
      <w:pPr>
        <w:widowControl w:val="0"/>
        <w:autoSpaceDE w:val="0"/>
        <w:autoSpaceDN w:val="0"/>
        <w:adjustRightInd w:val="0"/>
        <w:spacing w:after="0" w:line="240" w:lineRule="auto"/>
        <w:ind w:firstLine="720"/>
        <w:jc w:val="both"/>
        <w:rPr>
          <w:rFonts w:ascii="Georgia" w:hAnsi="Georgia" w:cs="Times New Roman"/>
          <w:color w:val="000000" w:themeColor="text1"/>
        </w:rPr>
      </w:pPr>
      <w:r w:rsidRPr="00883454">
        <w:rPr>
          <w:rFonts w:ascii="Georgia" w:hAnsi="Georgia" w:cs="Times New Roman"/>
          <w:color w:val="000000" w:themeColor="text1"/>
        </w:rPr>
        <w:t>Th</w:t>
      </w:r>
      <w:bookmarkStart w:id="5" w:name="_GoBack"/>
      <w:bookmarkEnd w:id="5"/>
      <w:r w:rsidRPr="00883454">
        <w:rPr>
          <w:rFonts w:ascii="Georgia" w:hAnsi="Georgia" w:cs="Times New Roman"/>
          <w:color w:val="000000" w:themeColor="text1"/>
        </w:rPr>
        <w:t xml:space="preserve">e history of yoga in the United States reflects its wide-ranging appeal. Some of yoga’s first American adherents included nineteenth-century transcendentalists, such as Henry David Thoreau and Ralph Waldo Emerson, who were fascinated by yoga’s approach to achieving enlightenment. In the early twentieth century, yoga grew more popular as scientists and physicians began to study the physical benefits of the practice. These physical benefits caught the attention of Hollywood celebrities, including Gloria Swanson, Greta Garbo, and Marilyn Monroe, who embraced yoga as a tool to fight illness and aging. </w:t>
      </w:r>
      <w:r w:rsidRPr="00883454">
        <w:rPr>
          <w:rFonts w:ascii="Georgia" w:hAnsi="Georgia" w:cs="Times New Roman"/>
          <w:i/>
          <w:iCs/>
          <w:color w:val="000000" w:themeColor="text1"/>
        </w:rPr>
        <w:t>See</w:t>
      </w:r>
      <w:r w:rsidRPr="00883454">
        <w:rPr>
          <w:rFonts w:ascii="Georgia" w:hAnsi="Georgia" w:cs="Times New Roman"/>
          <w:color w:val="000000" w:themeColor="text1"/>
        </w:rPr>
        <w:t xml:space="preserve"> Pankaj Mishra, </w:t>
      </w:r>
      <w:r w:rsidRPr="00883454">
        <w:rPr>
          <w:rFonts w:ascii="Georgia" w:hAnsi="Georgia" w:cs="Times New Roman"/>
          <w:i/>
          <w:iCs/>
          <w:color w:val="000000" w:themeColor="text1"/>
        </w:rPr>
        <w:t>Posing as Fitness,</w:t>
      </w:r>
      <w:r w:rsidRPr="00883454">
        <w:rPr>
          <w:rFonts w:ascii="Georgia" w:hAnsi="Georgia" w:cs="Times New Roman"/>
          <w:color w:val="000000" w:themeColor="text1"/>
        </w:rPr>
        <w:t xml:space="preserve"> N.Y. Times, July 23, 2010.</w:t>
      </w:r>
      <w:bookmarkStart w:id="6" w:name="co_footnoteReference_B00112037334947_ID0"/>
      <w:bookmarkEnd w:id="6"/>
      <w:r w:rsidRPr="00883454">
        <w:rPr>
          <w:rFonts w:ascii="Georgia" w:hAnsi="Georgia" w:cs="Times New Roman"/>
          <w:color w:val="000000" w:themeColor="text1"/>
        </w:rPr>
        <w:t xml:space="preserve"> By the 1960s, Americans increasingly turned to yoga as a “non-religious, decidedly unspiritual” form of physical exercise. </w:t>
      </w:r>
      <w:proofErr w:type="spellStart"/>
      <w:r w:rsidRPr="00883454">
        <w:rPr>
          <w:rFonts w:ascii="Georgia" w:hAnsi="Georgia" w:cs="Times New Roman"/>
          <w:color w:val="000000" w:themeColor="text1"/>
        </w:rPr>
        <w:t>Sparrowe</w:t>
      </w:r>
      <w:proofErr w:type="spellEnd"/>
      <w:r w:rsidRPr="00883454">
        <w:rPr>
          <w:rFonts w:ascii="Georgia" w:hAnsi="Georgia" w:cs="Times New Roman"/>
          <w:color w:val="000000" w:themeColor="text1"/>
        </w:rPr>
        <w:t xml:space="preserve">, </w:t>
      </w:r>
      <w:r w:rsidRPr="00883454">
        <w:rPr>
          <w:rFonts w:ascii="Georgia" w:hAnsi="Georgia" w:cs="Times New Roman"/>
          <w:i/>
          <w:iCs/>
          <w:color w:val="000000" w:themeColor="text1"/>
        </w:rPr>
        <w:t>supra,</w:t>
      </w:r>
      <w:r w:rsidRPr="00883454">
        <w:rPr>
          <w:rFonts w:ascii="Georgia" w:hAnsi="Georgia" w:cs="Times New Roman"/>
          <w:color w:val="000000" w:themeColor="text1"/>
        </w:rPr>
        <w:t xml:space="preserve"> at 50.</w:t>
      </w:r>
    </w:p>
    <w:p w:rsidR="00665CB9" w:rsidRPr="00883454" w:rsidRDefault="00665CB9" w:rsidP="00883454">
      <w:pPr>
        <w:widowControl w:val="0"/>
        <w:autoSpaceDE w:val="0"/>
        <w:autoSpaceDN w:val="0"/>
        <w:adjustRightInd w:val="0"/>
        <w:spacing w:after="0" w:line="240" w:lineRule="auto"/>
        <w:ind w:firstLine="720"/>
        <w:jc w:val="both"/>
        <w:rPr>
          <w:rFonts w:ascii="Georgia" w:hAnsi="Georgia" w:cs="Times New Roman"/>
          <w:color w:val="000000" w:themeColor="text1"/>
        </w:rPr>
      </w:pPr>
      <w:r w:rsidRPr="00883454">
        <w:rPr>
          <w:rFonts w:ascii="Georgia" w:hAnsi="Georgia" w:cs="Times New Roman"/>
          <w:color w:val="000000" w:themeColor="text1"/>
        </w:rPr>
        <w:t> </w:t>
      </w:r>
    </w:p>
    <w:p w:rsidR="00665CB9" w:rsidRPr="00883454" w:rsidRDefault="00665CB9" w:rsidP="00883454">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7" w:name="co_footnote_B00112037334947_1"/>
      <w:bookmarkEnd w:id="7"/>
      <w:r w:rsidRPr="00883454">
        <w:rPr>
          <w:rFonts w:ascii="Georgia" w:hAnsi="Georgia" w:cs="Times New Roman"/>
          <w:color w:val="000000" w:themeColor="text1"/>
        </w:rPr>
        <w:lastRenderedPageBreak/>
        <w:t xml:space="preserve">In 1971, Bikram Choudhury, the “self-proclaimed ‘Yogi to the stars,’ ” </w:t>
      </w:r>
      <w:r w:rsidRPr="00883454">
        <w:rPr>
          <w:rFonts w:ascii="Georgia" w:hAnsi="Georgia" w:cs="Times New Roman"/>
          <w:i/>
          <w:iCs/>
          <w:color w:val="000000" w:themeColor="text1"/>
        </w:rPr>
        <w:t>id.</w:t>
      </w:r>
      <w:r w:rsidRPr="00883454">
        <w:rPr>
          <w:rFonts w:ascii="Georgia" w:hAnsi="Georgia" w:cs="Times New Roman"/>
          <w:color w:val="000000" w:themeColor="text1"/>
        </w:rPr>
        <w:t xml:space="preserve"> </w:t>
      </w:r>
      <w:proofErr w:type="gramStart"/>
      <w:r w:rsidRPr="00883454">
        <w:rPr>
          <w:rFonts w:ascii="Georgia" w:hAnsi="Georgia" w:cs="Times New Roman"/>
          <w:color w:val="000000" w:themeColor="text1"/>
        </w:rPr>
        <w:t>at</w:t>
      </w:r>
      <w:proofErr w:type="gramEnd"/>
      <w:r w:rsidRPr="00883454">
        <w:rPr>
          <w:rFonts w:ascii="Georgia" w:hAnsi="Georgia" w:cs="Times New Roman"/>
          <w:color w:val="000000" w:themeColor="text1"/>
        </w:rPr>
        <w:t xml:space="preserve"> 56, arrived in Beverly Hills, California. He soon became a central figure in the growing popularity of yoga in the United States. Born and raised in Calcutta, India, Choudhury began studying yoga at age four and learned hundreds of traditional Hatha yoga “</w:t>
      </w:r>
      <w:proofErr w:type="spellStart"/>
      <w:r w:rsidRPr="00883454">
        <w:rPr>
          <w:rFonts w:ascii="Georgia" w:hAnsi="Georgia" w:cs="Times New Roman"/>
          <w:color w:val="000000" w:themeColor="text1"/>
        </w:rPr>
        <w:t>asanas</w:t>
      </w:r>
      <w:proofErr w:type="spellEnd"/>
      <w:r w:rsidRPr="00883454">
        <w:rPr>
          <w:rFonts w:ascii="Georgia" w:hAnsi="Georgia" w:cs="Times New Roman"/>
          <w:color w:val="000000" w:themeColor="text1"/>
        </w:rPr>
        <w:t xml:space="preserve">,” or individual poses. Hatha yoga places particular emphasis on the physical components of yoga. Choudhury developed a sequence of twenty-six </w:t>
      </w:r>
      <w:proofErr w:type="spellStart"/>
      <w:r w:rsidRPr="00883454">
        <w:rPr>
          <w:rFonts w:ascii="Georgia" w:hAnsi="Georgia" w:cs="Times New Roman"/>
          <w:color w:val="000000" w:themeColor="text1"/>
        </w:rPr>
        <w:t>asanas</w:t>
      </w:r>
      <w:proofErr w:type="spellEnd"/>
      <w:r w:rsidRPr="00883454">
        <w:rPr>
          <w:rFonts w:ascii="Georgia" w:hAnsi="Georgia" w:cs="Times New Roman"/>
          <w:color w:val="000000" w:themeColor="text1"/>
        </w:rPr>
        <w:t xml:space="preserve"> and two breathing exercises, arranged in a particular order, which he calls the “Sequence.” </w:t>
      </w:r>
      <w:r w:rsidRPr="00883454">
        <w:rPr>
          <w:rFonts w:ascii="Georgia" w:hAnsi="Georgia" w:cs="Times New Roman"/>
          <w:i/>
          <w:iCs/>
          <w:color w:val="000000" w:themeColor="text1"/>
        </w:rPr>
        <w:t>See</w:t>
      </w:r>
      <w:r w:rsidRPr="00883454">
        <w:rPr>
          <w:rFonts w:ascii="Georgia" w:hAnsi="Georgia" w:cs="Times New Roman"/>
          <w:color w:val="000000" w:themeColor="text1"/>
        </w:rPr>
        <w:t xml:space="preserve"> Bikram Choudhury, </w:t>
      </w:r>
      <w:r w:rsidRPr="00883454">
        <w:rPr>
          <w:rFonts w:ascii="Georgia" w:hAnsi="Georgia" w:cs="Times New Roman"/>
          <w:i/>
          <w:iCs/>
          <w:color w:val="000000" w:themeColor="text1"/>
        </w:rPr>
        <w:t>Bikram’s Beginning Yoga Class</w:t>
      </w:r>
      <w:r w:rsidRPr="00883454">
        <w:rPr>
          <w:rFonts w:ascii="Georgia" w:hAnsi="Georgia" w:cs="Times New Roman"/>
          <w:color w:val="000000" w:themeColor="text1"/>
        </w:rPr>
        <w:t xml:space="preserve"> (1979). Choudhury opened his own studio, where he began offering “Bikram Yoga” classes. In a Bikram Yoga class, the Sequence is practiced over the course of ninety minutes, to a series of instructions (the “Dialogue”), in a room heated to 105 degrees Fahrenheit to simulate Choudhury’s native Indian climate.</w:t>
      </w:r>
    </w:p>
    <w:p w:rsidR="00665CB9" w:rsidRPr="00883454" w:rsidRDefault="00665CB9" w:rsidP="00883454">
      <w:pPr>
        <w:widowControl w:val="0"/>
        <w:autoSpaceDE w:val="0"/>
        <w:autoSpaceDN w:val="0"/>
        <w:adjustRightInd w:val="0"/>
        <w:spacing w:after="0" w:line="240" w:lineRule="auto"/>
        <w:ind w:firstLine="720"/>
        <w:jc w:val="both"/>
        <w:rPr>
          <w:rFonts w:ascii="Georgia" w:hAnsi="Georgia" w:cs="Times New Roman"/>
          <w:color w:val="000000" w:themeColor="text1"/>
        </w:rPr>
      </w:pPr>
      <w:r w:rsidRPr="00883454">
        <w:rPr>
          <w:rFonts w:ascii="Georgia" w:hAnsi="Georgia" w:cs="Times New Roman"/>
          <w:color w:val="000000" w:themeColor="text1"/>
        </w:rPr>
        <w:t> </w:t>
      </w:r>
    </w:p>
    <w:p w:rsidR="00665CB9" w:rsidRPr="00883454" w:rsidRDefault="00665CB9" w:rsidP="00883454">
      <w:pPr>
        <w:widowControl w:val="0"/>
        <w:autoSpaceDE w:val="0"/>
        <w:autoSpaceDN w:val="0"/>
        <w:adjustRightInd w:val="0"/>
        <w:spacing w:after="0" w:line="240" w:lineRule="auto"/>
        <w:ind w:firstLine="720"/>
        <w:jc w:val="both"/>
        <w:rPr>
          <w:rFonts w:ascii="Georgia" w:hAnsi="Georgia" w:cs="Times New Roman"/>
          <w:color w:val="000000" w:themeColor="text1"/>
        </w:rPr>
      </w:pPr>
      <w:r w:rsidRPr="00883454">
        <w:rPr>
          <w:rFonts w:ascii="Georgia" w:hAnsi="Georgia" w:cs="Times New Roman"/>
          <w:color w:val="000000" w:themeColor="text1"/>
        </w:rPr>
        <w:t>Choudhury popularized the Sequence by marketing the many health and fitness benefits it provides. Choudhury informs prospective students that his “system of Hatha Yoga is capable of helping you avoid, correct, cure, heal, or at least alleviate the symptoms of almost any illness or injury.” He claims that he developed the Sequence after “many of years of research and verification ... using modern medical measurement techniques.” He tells reporters that he extended the careers of professional athletes, including Kareem Abdul–</w:t>
      </w:r>
      <w:proofErr w:type="spellStart"/>
      <w:r w:rsidRPr="00883454">
        <w:rPr>
          <w:rFonts w:ascii="Georgia" w:hAnsi="Georgia" w:cs="Times New Roman"/>
          <w:color w:val="000000" w:themeColor="text1"/>
        </w:rPr>
        <w:t>Jabbar</w:t>
      </w:r>
      <w:proofErr w:type="spellEnd"/>
      <w:r w:rsidRPr="00883454">
        <w:rPr>
          <w:rFonts w:ascii="Georgia" w:hAnsi="Georgia" w:cs="Times New Roman"/>
          <w:color w:val="000000" w:themeColor="text1"/>
        </w:rPr>
        <w:t xml:space="preserve"> and John McEnroe. This message has resonated with an American audience: as the complaint in this action explains, “[p]</w:t>
      </w:r>
      <w:proofErr w:type="spellStart"/>
      <w:r w:rsidRPr="00883454">
        <w:rPr>
          <w:rFonts w:ascii="Georgia" w:hAnsi="Georgia" w:cs="Times New Roman"/>
          <w:color w:val="000000" w:themeColor="text1"/>
        </w:rPr>
        <w:t>ublic</w:t>
      </w:r>
      <w:proofErr w:type="spellEnd"/>
      <w:r w:rsidRPr="00883454">
        <w:rPr>
          <w:rFonts w:ascii="Georgia" w:hAnsi="Georgia" w:cs="Times New Roman"/>
          <w:color w:val="000000" w:themeColor="text1"/>
        </w:rPr>
        <w:t xml:space="preserve"> demand for Bikram Yoga classes grew steadily once Bikram Yoga participants realized that Bikram’s unique yoga style and method offered them tremendous physical, mental and other benefits.”</w:t>
      </w:r>
    </w:p>
    <w:p w:rsidR="00665CB9" w:rsidRPr="00883454" w:rsidRDefault="00665CB9" w:rsidP="00883454">
      <w:pPr>
        <w:widowControl w:val="0"/>
        <w:autoSpaceDE w:val="0"/>
        <w:autoSpaceDN w:val="0"/>
        <w:adjustRightInd w:val="0"/>
        <w:spacing w:after="0" w:line="240" w:lineRule="auto"/>
        <w:ind w:firstLine="720"/>
        <w:jc w:val="both"/>
        <w:rPr>
          <w:rFonts w:ascii="Georgia" w:hAnsi="Georgia" w:cs="Times New Roman"/>
          <w:color w:val="000000" w:themeColor="text1"/>
        </w:rPr>
      </w:pPr>
      <w:r w:rsidRPr="00883454">
        <w:rPr>
          <w:rFonts w:ascii="Georgia" w:hAnsi="Georgia" w:cs="Times New Roman"/>
          <w:color w:val="000000" w:themeColor="text1"/>
        </w:rPr>
        <w:t> </w:t>
      </w:r>
    </w:p>
    <w:p w:rsidR="00665CB9" w:rsidRPr="00883454" w:rsidRDefault="00665CB9" w:rsidP="00883454">
      <w:pPr>
        <w:widowControl w:val="0"/>
        <w:autoSpaceDE w:val="0"/>
        <w:autoSpaceDN w:val="0"/>
        <w:adjustRightInd w:val="0"/>
        <w:spacing w:after="0" w:line="240" w:lineRule="auto"/>
        <w:ind w:firstLine="720"/>
        <w:jc w:val="both"/>
        <w:rPr>
          <w:rFonts w:ascii="Georgia" w:hAnsi="Georgia" w:cs="Times New Roman"/>
          <w:color w:val="000000" w:themeColor="text1"/>
        </w:rPr>
      </w:pPr>
      <w:r w:rsidRPr="00883454">
        <w:rPr>
          <w:rFonts w:ascii="Georgia" w:hAnsi="Georgia" w:cs="Times New Roman"/>
          <w:color w:val="000000" w:themeColor="text1"/>
        </w:rPr>
        <w:t xml:space="preserve">In 1979, Choudhury published the book </w:t>
      </w:r>
      <w:r w:rsidRPr="00883454">
        <w:rPr>
          <w:rFonts w:ascii="Georgia" w:hAnsi="Georgia" w:cs="Times New Roman"/>
          <w:i/>
          <w:iCs/>
          <w:color w:val="000000" w:themeColor="text1"/>
        </w:rPr>
        <w:t>Bikram’s Beginning Yoga Class,</w:t>
      </w:r>
      <w:r w:rsidRPr="00883454">
        <w:rPr>
          <w:rFonts w:ascii="Georgia" w:hAnsi="Georgia" w:cs="Times New Roman"/>
          <w:color w:val="000000" w:themeColor="text1"/>
        </w:rPr>
        <w:t xml:space="preserve"> which includes descriptions, photographs, and drawings of the Sequence’s twenty-six poses and two breathing exercises. Choudhury registered the book with the U.S. Copyright Office in 1979. In 2002, he also registered the “compilation of exercises” contained in the book, using a supplementary </w:t>
      </w:r>
      <w:bookmarkStart w:id="8" w:name="co_pp_sp_506_1036_1"/>
      <w:bookmarkEnd w:id="8"/>
      <w:r w:rsidRPr="00883454">
        <w:rPr>
          <w:rFonts w:ascii="Georgia" w:hAnsi="Georgia" w:cs="Times New Roman"/>
          <w:color w:val="000000" w:themeColor="text1"/>
        </w:rPr>
        <w:t>registration form that referenced back to the 1979 book.</w:t>
      </w:r>
      <w:bookmarkStart w:id="9" w:name="co_footnoteReference_B00222037334947_ID0"/>
      <w:bookmarkEnd w:id="9"/>
      <w:r w:rsidR="00106987" w:rsidRPr="00883454">
        <w:rPr>
          <w:rStyle w:val="FootnoteReference"/>
          <w:rFonts w:ascii="Georgia" w:hAnsi="Georgia" w:cs="Times New Roman"/>
          <w:color w:val="000000" w:themeColor="text1"/>
        </w:rPr>
        <w:footnoteReference w:customMarkFollows="1" w:id="1"/>
        <w:t>2</w:t>
      </w:r>
    </w:p>
    <w:p w:rsidR="00665CB9" w:rsidRPr="00883454" w:rsidRDefault="00665CB9" w:rsidP="00883454">
      <w:pPr>
        <w:widowControl w:val="0"/>
        <w:autoSpaceDE w:val="0"/>
        <w:autoSpaceDN w:val="0"/>
        <w:adjustRightInd w:val="0"/>
        <w:spacing w:after="0" w:line="240" w:lineRule="auto"/>
        <w:ind w:firstLine="720"/>
        <w:jc w:val="both"/>
        <w:rPr>
          <w:rFonts w:ascii="Georgia" w:hAnsi="Georgia" w:cs="Times New Roman"/>
          <w:color w:val="000000" w:themeColor="text1"/>
        </w:rPr>
      </w:pPr>
      <w:r w:rsidRPr="00883454">
        <w:rPr>
          <w:rFonts w:ascii="Georgia" w:hAnsi="Georgia" w:cs="Times New Roman"/>
          <w:color w:val="000000" w:themeColor="text1"/>
        </w:rPr>
        <w:t> </w:t>
      </w:r>
    </w:p>
    <w:p w:rsidR="00665CB9" w:rsidRPr="00883454" w:rsidRDefault="00665CB9" w:rsidP="00883454">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10" w:name="co_footnote_B00222037334947_1"/>
      <w:bookmarkEnd w:id="10"/>
      <w:r w:rsidRPr="00883454">
        <w:rPr>
          <w:rFonts w:ascii="Georgia" w:hAnsi="Georgia" w:cs="Times New Roman"/>
          <w:color w:val="000000" w:themeColor="text1"/>
        </w:rPr>
        <w:t xml:space="preserve">In 1994, Choudhury introduced the “Bikram Yoga Teacher Training Course.” In 2002 and 2005, respectively, Mark </w:t>
      </w:r>
      <w:proofErr w:type="spellStart"/>
      <w:r w:rsidRPr="00883454">
        <w:rPr>
          <w:rFonts w:ascii="Georgia" w:hAnsi="Georgia" w:cs="Times New Roman"/>
          <w:color w:val="000000" w:themeColor="text1"/>
        </w:rPr>
        <w:t>Drost</w:t>
      </w:r>
      <w:proofErr w:type="spellEnd"/>
      <w:r w:rsidRPr="00883454">
        <w:rPr>
          <w:rFonts w:ascii="Georgia" w:hAnsi="Georgia" w:cs="Times New Roman"/>
          <w:color w:val="000000" w:themeColor="text1"/>
        </w:rPr>
        <w:t xml:space="preserve"> and </w:t>
      </w:r>
      <w:proofErr w:type="spellStart"/>
      <w:r w:rsidRPr="00883454">
        <w:rPr>
          <w:rFonts w:ascii="Georgia" w:hAnsi="Georgia" w:cs="Times New Roman"/>
          <w:color w:val="000000" w:themeColor="text1"/>
        </w:rPr>
        <w:t>Zefea</w:t>
      </w:r>
      <w:proofErr w:type="spellEnd"/>
      <w:r w:rsidRPr="00883454">
        <w:rPr>
          <w:rFonts w:ascii="Georgia" w:hAnsi="Georgia" w:cs="Times New Roman"/>
          <w:color w:val="000000" w:themeColor="text1"/>
        </w:rPr>
        <w:t xml:space="preserve"> Samson enrolled in and successfully completed the three-month Bikram Yoga Teacher Training course. In 2009, </w:t>
      </w:r>
      <w:proofErr w:type="spellStart"/>
      <w:r w:rsidRPr="00883454">
        <w:rPr>
          <w:rFonts w:ascii="Georgia" w:hAnsi="Georgia" w:cs="Times New Roman"/>
          <w:color w:val="000000" w:themeColor="text1"/>
        </w:rPr>
        <w:t>Drost</w:t>
      </w:r>
      <w:proofErr w:type="spellEnd"/>
      <w:r w:rsidRPr="00883454">
        <w:rPr>
          <w:rFonts w:ascii="Georgia" w:hAnsi="Georgia" w:cs="Times New Roman"/>
          <w:color w:val="000000" w:themeColor="text1"/>
        </w:rPr>
        <w:t xml:space="preserve"> and Samson founded </w:t>
      </w:r>
      <w:proofErr w:type="spellStart"/>
      <w:r w:rsidRPr="00883454">
        <w:rPr>
          <w:rFonts w:ascii="Georgia" w:hAnsi="Georgia" w:cs="Times New Roman"/>
          <w:color w:val="000000" w:themeColor="text1"/>
        </w:rPr>
        <w:t>Evolation</w:t>
      </w:r>
      <w:proofErr w:type="spellEnd"/>
      <w:r w:rsidRPr="00883454">
        <w:rPr>
          <w:rFonts w:ascii="Georgia" w:hAnsi="Georgia" w:cs="Times New Roman"/>
          <w:color w:val="000000" w:themeColor="text1"/>
        </w:rPr>
        <w:t xml:space="preserve"> Yoga, LLC. </w:t>
      </w:r>
      <w:proofErr w:type="spellStart"/>
      <w:r w:rsidRPr="00883454">
        <w:rPr>
          <w:rFonts w:ascii="Georgia" w:hAnsi="Georgia" w:cs="Times New Roman"/>
          <w:color w:val="000000" w:themeColor="text1"/>
        </w:rPr>
        <w:t>Evolation</w:t>
      </w:r>
      <w:proofErr w:type="spellEnd"/>
      <w:r w:rsidRPr="00883454">
        <w:rPr>
          <w:rFonts w:ascii="Georgia" w:hAnsi="Georgia" w:cs="Times New Roman"/>
          <w:color w:val="000000" w:themeColor="text1"/>
        </w:rPr>
        <w:t xml:space="preserve"> Yoga offers several types and styles of yoga, including “hot yoga,” which is similar to “Bikram’s Basic Yoga System.” </w:t>
      </w:r>
      <w:proofErr w:type="spellStart"/>
      <w:r w:rsidRPr="00883454">
        <w:rPr>
          <w:rFonts w:ascii="Georgia" w:hAnsi="Georgia" w:cs="Times New Roman"/>
          <w:color w:val="000000" w:themeColor="text1"/>
        </w:rPr>
        <w:t>Evolation</w:t>
      </w:r>
      <w:proofErr w:type="spellEnd"/>
      <w:r w:rsidRPr="00883454">
        <w:rPr>
          <w:rFonts w:ascii="Georgia" w:hAnsi="Georgia" w:cs="Times New Roman"/>
          <w:color w:val="000000" w:themeColor="text1"/>
        </w:rPr>
        <w:t xml:space="preserve"> acknowledges that hot yoga “includes 26 postures and two breathing exercises and is done for 90 minutes, accompanied by </w:t>
      </w:r>
      <w:r w:rsidRPr="00883454">
        <w:rPr>
          <w:rFonts w:ascii="Georgia" w:hAnsi="Georgia" w:cs="Times New Roman"/>
          <w:color w:val="000000" w:themeColor="text1"/>
        </w:rPr>
        <w:lastRenderedPageBreak/>
        <w:t>a series of oral instructions, in a room heated to approximately 105 degrees Fahrenheit.”</w:t>
      </w:r>
    </w:p>
    <w:p w:rsidR="00665CB9" w:rsidRPr="00883454" w:rsidRDefault="00665CB9" w:rsidP="00883454">
      <w:pPr>
        <w:widowControl w:val="0"/>
        <w:autoSpaceDE w:val="0"/>
        <w:autoSpaceDN w:val="0"/>
        <w:adjustRightInd w:val="0"/>
        <w:spacing w:after="0" w:line="240" w:lineRule="auto"/>
        <w:ind w:firstLine="720"/>
        <w:jc w:val="both"/>
        <w:rPr>
          <w:rFonts w:ascii="Georgia" w:hAnsi="Georgia" w:cs="Times New Roman"/>
          <w:color w:val="000000" w:themeColor="text1"/>
        </w:rPr>
      </w:pPr>
      <w:r w:rsidRPr="00883454">
        <w:rPr>
          <w:rFonts w:ascii="Georgia" w:hAnsi="Georgia" w:cs="Times New Roman"/>
          <w:color w:val="000000" w:themeColor="text1"/>
        </w:rPr>
        <w:t> </w:t>
      </w:r>
    </w:p>
    <w:p w:rsidR="00665CB9" w:rsidRPr="00883454" w:rsidRDefault="00665CB9" w:rsidP="00883454">
      <w:pPr>
        <w:widowControl w:val="0"/>
        <w:autoSpaceDE w:val="0"/>
        <w:autoSpaceDN w:val="0"/>
        <w:adjustRightInd w:val="0"/>
        <w:spacing w:after="0" w:line="240" w:lineRule="auto"/>
        <w:ind w:firstLine="720"/>
        <w:jc w:val="both"/>
        <w:rPr>
          <w:rFonts w:ascii="Georgia" w:hAnsi="Georgia" w:cs="Times New Roman"/>
          <w:color w:val="000000" w:themeColor="text1"/>
        </w:rPr>
      </w:pPr>
      <w:r w:rsidRPr="00883454">
        <w:rPr>
          <w:rFonts w:ascii="Georgia" w:hAnsi="Georgia" w:cs="Times New Roman"/>
          <w:color w:val="000000" w:themeColor="text1"/>
        </w:rPr>
        <w:t>On July 1, 2011, Choudhury and Bikram’s Yoga College of India, L.P. (“Choudhury”)</w:t>
      </w:r>
      <w:bookmarkStart w:id="11" w:name="co_footnoteReference_B00332037334947_ID0"/>
      <w:bookmarkEnd w:id="11"/>
      <w:r w:rsidRPr="00883454">
        <w:rPr>
          <w:rFonts w:ascii="Georgia" w:hAnsi="Georgia" w:cs="Times New Roman"/>
          <w:color w:val="000000" w:themeColor="text1"/>
        </w:rPr>
        <w:t xml:space="preserve"> filed a complaint in the Central District of California alleging, </w:t>
      </w:r>
      <w:r w:rsidRPr="00883454">
        <w:rPr>
          <w:rFonts w:ascii="Georgia" w:hAnsi="Georgia" w:cs="Times New Roman"/>
          <w:i/>
          <w:iCs/>
          <w:color w:val="000000" w:themeColor="text1"/>
        </w:rPr>
        <w:t>inter alia,</w:t>
      </w:r>
      <w:r w:rsidRPr="00883454">
        <w:rPr>
          <w:rFonts w:ascii="Georgia" w:hAnsi="Georgia" w:cs="Times New Roman"/>
          <w:color w:val="000000" w:themeColor="text1"/>
        </w:rPr>
        <w:t xml:space="preserve"> that defendants </w:t>
      </w:r>
      <w:proofErr w:type="spellStart"/>
      <w:r w:rsidRPr="00883454">
        <w:rPr>
          <w:rFonts w:ascii="Georgia" w:hAnsi="Georgia" w:cs="Times New Roman"/>
          <w:color w:val="000000" w:themeColor="text1"/>
        </w:rPr>
        <w:t>Evolation</w:t>
      </w:r>
      <w:proofErr w:type="spellEnd"/>
      <w:r w:rsidRPr="00883454">
        <w:rPr>
          <w:rFonts w:ascii="Georgia" w:hAnsi="Georgia" w:cs="Times New Roman"/>
          <w:color w:val="000000" w:themeColor="text1"/>
        </w:rPr>
        <w:t xml:space="preserve"> Yoga, LLC, Mark </w:t>
      </w:r>
      <w:proofErr w:type="spellStart"/>
      <w:r w:rsidRPr="00883454">
        <w:rPr>
          <w:rFonts w:ascii="Georgia" w:hAnsi="Georgia" w:cs="Times New Roman"/>
          <w:color w:val="000000" w:themeColor="text1"/>
        </w:rPr>
        <w:t>Drost</w:t>
      </w:r>
      <w:proofErr w:type="spellEnd"/>
      <w:r w:rsidRPr="00883454">
        <w:rPr>
          <w:rFonts w:ascii="Georgia" w:hAnsi="Georgia" w:cs="Times New Roman"/>
          <w:color w:val="000000" w:themeColor="text1"/>
        </w:rPr>
        <w:t xml:space="preserve">, and </w:t>
      </w:r>
      <w:proofErr w:type="spellStart"/>
      <w:r w:rsidRPr="00883454">
        <w:rPr>
          <w:rFonts w:ascii="Georgia" w:hAnsi="Georgia" w:cs="Times New Roman"/>
          <w:color w:val="000000" w:themeColor="text1"/>
        </w:rPr>
        <w:t>Zefea</w:t>
      </w:r>
      <w:proofErr w:type="spellEnd"/>
      <w:r w:rsidRPr="00883454">
        <w:rPr>
          <w:rFonts w:ascii="Georgia" w:hAnsi="Georgia" w:cs="Times New Roman"/>
          <w:color w:val="000000" w:themeColor="text1"/>
        </w:rPr>
        <w:t xml:space="preserve"> Samson (“</w:t>
      </w:r>
      <w:proofErr w:type="spellStart"/>
      <w:r w:rsidRPr="00883454">
        <w:rPr>
          <w:rFonts w:ascii="Georgia" w:hAnsi="Georgia" w:cs="Times New Roman"/>
          <w:color w:val="000000" w:themeColor="text1"/>
        </w:rPr>
        <w:t>Evolation</w:t>
      </w:r>
      <w:proofErr w:type="spellEnd"/>
      <w:r w:rsidRPr="00883454">
        <w:rPr>
          <w:rFonts w:ascii="Georgia" w:hAnsi="Georgia" w:cs="Times New Roman"/>
          <w:color w:val="000000" w:themeColor="text1"/>
        </w:rPr>
        <w:t xml:space="preserve">”) infringed “Bikram’s Copyrighted Works through substantial use of Bikram’s Copyrighted Works in and as part of Defendants’ offering of yoga classes.” On November 12, 2012, </w:t>
      </w:r>
      <w:proofErr w:type="spellStart"/>
      <w:r w:rsidRPr="00883454">
        <w:rPr>
          <w:rFonts w:ascii="Georgia" w:hAnsi="Georgia" w:cs="Times New Roman"/>
          <w:color w:val="000000" w:themeColor="text1"/>
        </w:rPr>
        <w:t>Evolation</w:t>
      </w:r>
      <w:proofErr w:type="spellEnd"/>
      <w:r w:rsidRPr="00883454">
        <w:rPr>
          <w:rFonts w:ascii="Georgia" w:hAnsi="Georgia" w:cs="Times New Roman"/>
          <w:color w:val="000000" w:themeColor="text1"/>
        </w:rPr>
        <w:t xml:space="preserve"> moved for partial summary judgment as to Choudhury’s claim of copyright infringement of the “Sequence.” The district court granted </w:t>
      </w:r>
      <w:proofErr w:type="spellStart"/>
      <w:r w:rsidRPr="00883454">
        <w:rPr>
          <w:rFonts w:ascii="Georgia" w:hAnsi="Georgia" w:cs="Times New Roman"/>
          <w:color w:val="000000" w:themeColor="text1"/>
        </w:rPr>
        <w:t>Evolation’s</w:t>
      </w:r>
      <w:proofErr w:type="spellEnd"/>
      <w:r w:rsidRPr="00883454">
        <w:rPr>
          <w:rFonts w:ascii="Georgia" w:hAnsi="Georgia" w:cs="Times New Roman"/>
          <w:color w:val="000000" w:themeColor="text1"/>
        </w:rPr>
        <w:t xml:space="preserve"> motion, ruling that the “Sequence is a collection of facts and ideas” that is not entitled to copyright protection. The parties settled all remaining claims against each other, and Choudhury timely appealed as to the “Sequence.”</w:t>
      </w:r>
    </w:p>
    <w:p w:rsidR="00106987" w:rsidRPr="00883454" w:rsidRDefault="00106987" w:rsidP="00883454">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12" w:name="co_anchor_I81e1a2b09f3111e598dc8b09b4f04"/>
      <w:bookmarkEnd w:id="12"/>
    </w:p>
    <w:p w:rsidR="00665CB9" w:rsidRDefault="00665CB9" w:rsidP="00883454">
      <w:pPr>
        <w:widowControl w:val="0"/>
        <w:autoSpaceDE w:val="0"/>
        <w:autoSpaceDN w:val="0"/>
        <w:adjustRightInd w:val="0"/>
        <w:spacing w:after="0" w:line="240" w:lineRule="auto"/>
        <w:jc w:val="center"/>
        <w:rPr>
          <w:rFonts w:ascii="Georgia" w:hAnsi="Georgia" w:cs="Times New Roman"/>
          <w:b/>
          <w:bCs/>
          <w:color w:val="000000" w:themeColor="text1"/>
        </w:rPr>
      </w:pPr>
      <w:r w:rsidRPr="00883454">
        <w:rPr>
          <w:rFonts w:ascii="Georgia" w:hAnsi="Georgia" w:cs="Times New Roman"/>
          <w:b/>
          <w:bCs/>
          <w:color w:val="000000" w:themeColor="text1"/>
        </w:rPr>
        <w:t>II. Standard of Review</w:t>
      </w:r>
    </w:p>
    <w:p w:rsidR="00883454" w:rsidRPr="00883454" w:rsidRDefault="00883454" w:rsidP="00883454">
      <w:pPr>
        <w:widowControl w:val="0"/>
        <w:autoSpaceDE w:val="0"/>
        <w:autoSpaceDN w:val="0"/>
        <w:adjustRightInd w:val="0"/>
        <w:spacing w:after="0" w:line="240" w:lineRule="auto"/>
        <w:ind w:firstLine="720"/>
        <w:jc w:val="center"/>
        <w:rPr>
          <w:rFonts w:ascii="Georgia" w:hAnsi="Georgia" w:cs="Times New Roman"/>
          <w:b/>
          <w:bCs/>
          <w:color w:val="000000" w:themeColor="text1"/>
        </w:rPr>
      </w:pPr>
    </w:p>
    <w:p w:rsidR="00665CB9" w:rsidRPr="00883454" w:rsidRDefault="00665CB9" w:rsidP="00883454">
      <w:pPr>
        <w:widowControl w:val="0"/>
        <w:autoSpaceDE w:val="0"/>
        <w:autoSpaceDN w:val="0"/>
        <w:adjustRightInd w:val="0"/>
        <w:spacing w:after="0" w:line="240" w:lineRule="auto"/>
        <w:ind w:firstLine="720"/>
        <w:jc w:val="both"/>
        <w:rPr>
          <w:rFonts w:ascii="Georgia" w:hAnsi="Georgia" w:cs="Times New Roman"/>
          <w:color w:val="000000" w:themeColor="text1"/>
        </w:rPr>
      </w:pPr>
      <w:r w:rsidRPr="00883454">
        <w:rPr>
          <w:rFonts w:ascii="Georgia" w:hAnsi="Georgia" w:cs="Times New Roman"/>
          <w:color w:val="000000" w:themeColor="text1"/>
        </w:rPr>
        <w:t xml:space="preserve">“We review de novo a district court’s grant of partial summary judgment, and may affirm on any ground supported by the record.” </w:t>
      </w:r>
      <w:hyperlink r:id="rId8" w:anchor="co_pp_sp_506_955" w:history="1">
        <w:r w:rsidRPr="00883454">
          <w:rPr>
            <w:rFonts w:ascii="Georgia" w:hAnsi="Georgia" w:cs="Times New Roman"/>
            <w:i/>
            <w:iCs/>
            <w:color w:val="000000" w:themeColor="text1"/>
          </w:rPr>
          <w:t>White v. City of Sparks,</w:t>
        </w:r>
        <w:r w:rsidRPr="00883454">
          <w:rPr>
            <w:rFonts w:ascii="Georgia" w:hAnsi="Georgia" w:cs="Times New Roman"/>
            <w:color w:val="000000" w:themeColor="text1"/>
          </w:rPr>
          <w:t xml:space="preserve"> 500 F.3d 953, 955 (9th Cir.2007)</w:t>
        </w:r>
      </w:hyperlink>
      <w:r w:rsidRPr="00883454">
        <w:rPr>
          <w:rFonts w:ascii="Georgia" w:hAnsi="Georgia" w:cs="Times New Roman"/>
          <w:color w:val="000000" w:themeColor="text1"/>
        </w:rPr>
        <w:t xml:space="preserve"> (citation omitted). “After ‘viewing the evidence in the light most favorable to the nonmoving party,’ we determine ‘whether there are any genuine issues of material fact and whether the district court correctly applied the relevant substantive law.’ ” </w:t>
      </w:r>
      <w:r w:rsidRPr="00883454">
        <w:rPr>
          <w:rFonts w:ascii="Georgia" w:hAnsi="Georgia" w:cs="Times New Roman"/>
          <w:i/>
          <w:iCs/>
          <w:color w:val="000000" w:themeColor="text1"/>
        </w:rPr>
        <w:t>Id.</w:t>
      </w:r>
      <w:r w:rsidRPr="00883454">
        <w:rPr>
          <w:rFonts w:ascii="Georgia" w:hAnsi="Georgia" w:cs="Times New Roman"/>
          <w:color w:val="000000" w:themeColor="text1"/>
        </w:rPr>
        <w:t xml:space="preserve"> (quoting </w:t>
      </w:r>
      <w:hyperlink r:id="rId9" w:anchor="co_pp_sp_506_1097" w:history="1">
        <w:r w:rsidRPr="00883454">
          <w:rPr>
            <w:rFonts w:ascii="Georgia" w:hAnsi="Georgia" w:cs="Times New Roman"/>
            <w:i/>
            <w:iCs/>
            <w:color w:val="000000" w:themeColor="text1"/>
          </w:rPr>
          <w:t>Am. Civil Liberties Union of Nev. v. City of Las Vegas,</w:t>
        </w:r>
        <w:r w:rsidRPr="00883454">
          <w:rPr>
            <w:rFonts w:ascii="Georgia" w:hAnsi="Georgia" w:cs="Times New Roman"/>
            <w:color w:val="000000" w:themeColor="text1"/>
          </w:rPr>
          <w:t xml:space="preserve"> 333 F.3d 1092, 1097 (9th Cir.2003)</w:t>
        </w:r>
      </w:hyperlink>
      <w:r w:rsidRPr="00883454">
        <w:rPr>
          <w:rFonts w:ascii="Georgia" w:hAnsi="Georgia" w:cs="Times New Roman"/>
          <w:color w:val="000000" w:themeColor="text1"/>
        </w:rPr>
        <w:t>).</w:t>
      </w:r>
    </w:p>
    <w:p w:rsidR="00A17CBF" w:rsidRPr="00883454" w:rsidRDefault="00665CB9" w:rsidP="00883454">
      <w:pPr>
        <w:widowControl w:val="0"/>
        <w:autoSpaceDE w:val="0"/>
        <w:autoSpaceDN w:val="0"/>
        <w:adjustRightInd w:val="0"/>
        <w:spacing w:after="0" w:line="240" w:lineRule="auto"/>
        <w:ind w:firstLine="720"/>
        <w:jc w:val="both"/>
        <w:rPr>
          <w:rFonts w:ascii="Georgia" w:hAnsi="Georgia" w:cs="Times New Roman"/>
          <w:color w:val="000000" w:themeColor="text1"/>
        </w:rPr>
      </w:pPr>
      <w:r w:rsidRPr="00883454">
        <w:rPr>
          <w:rFonts w:ascii="Georgia" w:hAnsi="Georgia" w:cs="Times New Roman"/>
          <w:color w:val="000000" w:themeColor="text1"/>
        </w:rPr>
        <w:t> </w:t>
      </w:r>
      <w:bookmarkStart w:id="13" w:name="co_anchor_I81e1a2b19f3111e598dc8b09b4f04"/>
      <w:bookmarkEnd w:id="13"/>
    </w:p>
    <w:p w:rsidR="00665CB9" w:rsidRPr="00883454" w:rsidRDefault="00665CB9" w:rsidP="00883454">
      <w:pPr>
        <w:widowControl w:val="0"/>
        <w:autoSpaceDE w:val="0"/>
        <w:autoSpaceDN w:val="0"/>
        <w:adjustRightInd w:val="0"/>
        <w:spacing w:after="0" w:line="240" w:lineRule="auto"/>
        <w:jc w:val="center"/>
        <w:rPr>
          <w:rFonts w:ascii="Georgia" w:hAnsi="Georgia" w:cs="Times New Roman"/>
          <w:b/>
          <w:bCs/>
          <w:color w:val="000000" w:themeColor="text1"/>
        </w:rPr>
      </w:pPr>
      <w:r w:rsidRPr="00883454">
        <w:rPr>
          <w:rFonts w:ascii="Georgia" w:hAnsi="Georgia" w:cs="Times New Roman"/>
          <w:b/>
          <w:bCs/>
          <w:color w:val="000000" w:themeColor="text1"/>
        </w:rPr>
        <w:t>III. Discussion</w:t>
      </w:r>
    </w:p>
    <w:p w:rsidR="00A17CBF" w:rsidRPr="00883454" w:rsidRDefault="00A17CBF" w:rsidP="00883454">
      <w:pPr>
        <w:widowControl w:val="0"/>
        <w:autoSpaceDE w:val="0"/>
        <w:autoSpaceDN w:val="0"/>
        <w:adjustRightInd w:val="0"/>
        <w:spacing w:after="0" w:line="240" w:lineRule="auto"/>
        <w:ind w:firstLine="720"/>
        <w:jc w:val="center"/>
        <w:rPr>
          <w:rFonts w:ascii="Georgia" w:hAnsi="Georgia" w:cs="Times New Roman"/>
          <w:b/>
          <w:bCs/>
          <w:color w:val="000000" w:themeColor="text1"/>
        </w:rPr>
      </w:pPr>
    </w:p>
    <w:p w:rsidR="00665CB9" w:rsidRPr="00883454" w:rsidRDefault="00665CB9" w:rsidP="00883454">
      <w:pPr>
        <w:widowControl w:val="0"/>
        <w:autoSpaceDE w:val="0"/>
        <w:autoSpaceDN w:val="0"/>
        <w:adjustRightInd w:val="0"/>
        <w:spacing w:after="0" w:line="240" w:lineRule="auto"/>
        <w:ind w:firstLine="720"/>
        <w:jc w:val="both"/>
        <w:rPr>
          <w:rFonts w:ascii="Georgia" w:hAnsi="Georgia" w:cs="Times New Roman"/>
          <w:color w:val="000000" w:themeColor="text1"/>
        </w:rPr>
      </w:pPr>
      <w:r w:rsidRPr="00883454">
        <w:rPr>
          <w:rFonts w:ascii="Georgia" w:hAnsi="Georgia" w:cs="Times New Roman"/>
          <w:color w:val="000000" w:themeColor="text1"/>
        </w:rPr>
        <w:t xml:space="preserve">Though Choudhury emphasizes the aesthetic attributes of the Sequence’s “graceful flow,” at bottom, the Sequence is an idea, process, or system designed to improve health. Copyright protects only the expression of this idea—the words and pictures used to describe the Sequence—and not the idea of the Sequence itself. Because the Sequence is an </w:t>
      </w:r>
      <w:proofErr w:type="spellStart"/>
      <w:r w:rsidRPr="00883454">
        <w:rPr>
          <w:rFonts w:ascii="Georgia" w:hAnsi="Georgia" w:cs="Times New Roman"/>
          <w:color w:val="000000" w:themeColor="text1"/>
        </w:rPr>
        <w:t>unprotectable</w:t>
      </w:r>
      <w:proofErr w:type="spellEnd"/>
      <w:r w:rsidRPr="00883454">
        <w:rPr>
          <w:rFonts w:ascii="Georgia" w:hAnsi="Georgia" w:cs="Times New Roman"/>
          <w:color w:val="000000" w:themeColor="text1"/>
        </w:rPr>
        <w:t xml:space="preserve"> idea, it is also ineligible for copyright protection as a “compilation” or “choreographic work.” The district court properly granted partial summary judgment in favor of </w:t>
      </w:r>
      <w:proofErr w:type="spellStart"/>
      <w:r w:rsidRPr="00883454">
        <w:rPr>
          <w:rFonts w:ascii="Georgia" w:hAnsi="Georgia" w:cs="Times New Roman"/>
          <w:color w:val="000000" w:themeColor="text1"/>
        </w:rPr>
        <w:t>Evolation</w:t>
      </w:r>
      <w:proofErr w:type="spellEnd"/>
      <w:r w:rsidRPr="00883454">
        <w:rPr>
          <w:rFonts w:ascii="Georgia" w:hAnsi="Georgia" w:cs="Times New Roman"/>
          <w:color w:val="000000" w:themeColor="text1"/>
        </w:rPr>
        <w:t xml:space="preserve"> because the Sequence is not a proper subject of copyright.</w:t>
      </w:r>
      <w:bookmarkStart w:id="14" w:name="co_anchor_I81e1a2b29f3111e598dc8b09b4f04"/>
      <w:bookmarkEnd w:id="14"/>
    </w:p>
    <w:p w:rsidR="00665CB9" w:rsidRPr="00883454" w:rsidRDefault="00665CB9" w:rsidP="00883454">
      <w:pPr>
        <w:widowControl w:val="0"/>
        <w:autoSpaceDE w:val="0"/>
        <w:autoSpaceDN w:val="0"/>
        <w:adjustRightInd w:val="0"/>
        <w:spacing w:before="200" w:after="0" w:line="240" w:lineRule="auto"/>
        <w:ind w:firstLine="720"/>
        <w:rPr>
          <w:rFonts w:ascii="Georgia" w:hAnsi="Georgia" w:cs="Times New Roman"/>
          <w:b/>
          <w:bCs/>
          <w:i/>
          <w:iCs/>
          <w:color w:val="000000" w:themeColor="text1"/>
        </w:rPr>
      </w:pPr>
      <w:r w:rsidRPr="00883454">
        <w:rPr>
          <w:rFonts w:ascii="Georgia" w:hAnsi="Georgia" w:cs="Times New Roman"/>
          <w:b/>
          <w:bCs/>
          <w:i/>
          <w:iCs/>
          <w:color w:val="000000" w:themeColor="text1"/>
        </w:rPr>
        <w:t xml:space="preserve">A. The Sequence Is an </w:t>
      </w:r>
      <w:proofErr w:type="spellStart"/>
      <w:r w:rsidRPr="00883454">
        <w:rPr>
          <w:rFonts w:ascii="Georgia" w:hAnsi="Georgia" w:cs="Times New Roman"/>
          <w:b/>
          <w:bCs/>
          <w:i/>
          <w:iCs/>
          <w:color w:val="000000" w:themeColor="text1"/>
        </w:rPr>
        <w:t>Unprotectable</w:t>
      </w:r>
      <w:proofErr w:type="spellEnd"/>
      <w:r w:rsidRPr="00883454">
        <w:rPr>
          <w:rFonts w:ascii="Georgia" w:hAnsi="Georgia" w:cs="Times New Roman"/>
          <w:b/>
          <w:bCs/>
          <w:i/>
          <w:iCs/>
          <w:color w:val="000000" w:themeColor="text1"/>
        </w:rPr>
        <w:t xml:space="preserve"> Idea.</w:t>
      </w:r>
    </w:p>
    <w:p w:rsidR="00883454" w:rsidRDefault="00883454" w:rsidP="00883454">
      <w:pPr>
        <w:widowControl w:val="0"/>
        <w:autoSpaceDE w:val="0"/>
        <w:autoSpaceDN w:val="0"/>
        <w:adjustRightInd w:val="0"/>
        <w:spacing w:after="0" w:line="240" w:lineRule="auto"/>
        <w:ind w:firstLine="720"/>
        <w:jc w:val="both"/>
        <w:rPr>
          <w:rFonts w:ascii="Georgia" w:hAnsi="Georgia" w:cs="Times New Roman"/>
          <w:color w:val="000000" w:themeColor="text1"/>
        </w:rPr>
      </w:pPr>
    </w:p>
    <w:p w:rsidR="00665CB9" w:rsidRPr="00883454" w:rsidRDefault="00665CB9" w:rsidP="00883454">
      <w:pPr>
        <w:widowControl w:val="0"/>
        <w:autoSpaceDE w:val="0"/>
        <w:autoSpaceDN w:val="0"/>
        <w:adjustRightInd w:val="0"/>
        <w:spacing w:after="0" w:line="240" w:lineRule="auto"/>
        <w:ind w:firstLine="720"/>
        <w:jc w:val="both"/>
        <w:rPr>
          <w:rFonts w:ascii="Georgia" w:hAnsi="Georgia" w:cs="Times New Roman"/>
          <w:color w:val="000000" w:themeColor="text1"/>
        </w:rPr>
      </w:pPr>
      <w:r w:rsidRPr="00883454">
        <w:rPr>
          <w:rFonts w:ascii="Georgia" w:hAnsi="Georgia" w:cs="Times New Roman"/>
          <w:color w:val="000000" w:themeColor="text1"/>
        </w:rPr>
        <w:t xml:space="preserve">Section 102(a) of the Copyright Act of 1976 sets forth the proper subjects of copyright protection. </w:t>
      </w:r>
      <w:hyperlink r:id="rId10" w:anchor="co_pp_8b3b0000958a4" w:history="1">
        <w:r w:rsidRPr="00883454">
          <w:rPr>
            <w:rFonts w:ascii="Georgia" w:hAnsi="Georgia" w:cs="Times New Roman"/>
            <w:color w:val="000000" w:themeColor="text1"/>
          </w:rPr>
          <w:t>17 U.S.C. § 102(a)</w:t>
        </w:r>
      </w:hyperlink>
      <w:r w:rsidRPr="00883454">
        <w:rPr>
          <w:rFonts w:ascii="Georgia" w:hAnsi="Georgia" w:cs="Times New Roman"/>
          <w:color w:val="000000" w:themeColor="text1"/>
        </w:rPr>
        <w:t xml:space="preserve">. </w:t>
      </w:r>
      <w:bookmarkStart w:id="15" w:name="co_pp_sp_506_1037_1"/>
      <w:bookmarkEnd w:id="15"/>
      <w:r w:rsidRPr="00883454">
        <w:rPr>
          <w:rFonts w:ascii="Georgia" w:hAnsi="Georgia" w:cs="Times New Roman"/>
          <w:color w:val="000000" w:themeColor="text1"/>
        </w:rPr>
        <w:fldChar w:fldCharType="begin"/>
      </w:r>
      <w:r w:rsidRPr="00883454">
        <w:rPr>
          <w:rFonts w:ascii="Georgia" w:hAnsi="Georgia" w:cs="Times New Roman"/>
          <w:color w:val="000000" w:themeColor="text1"/>
        </w:rPr>
        <w:instrText xml:space="preserve">HYPERLINK "http://www.westlaw.com/Link/Document/FullText?findType=L&amp;pubNum=1000546&amp;cite=17USCAS102&amp;originatingDoc=Ib47565c86dec11e5b86bd602cb8781fa&amp;refType=RB&amp;originationContext=document&amp;vr=3.0&amp;rs=cblt1.0&amp;transitionType=DocumentItem&amp;contextData=(sc.Search)#co_pp_a83b000018c76" </w:instrText>
      </w:r>
      <w:r w:rsidRPr="00883454">
        <w:rPr>
          <w:rFonts w:ascii="Georgia" w:hAnsi="Georgia" w:cs="Times New Roman"/>
          <w:color w:val="000000" w:themeColor="text1"/>
        </w:rPr>
        <w:fldChar w:fldCharType="separate"/>
      </w:r>
      <w:r w:rsidRPr="00883454">
        <w:rPr>
          <w:rFonts w:ascii="Georgia" w:hAnsi="Georgia" w:cs="Times New Roman"/>
          <w:color w:val="000000" w:themeColor="text1"/>
        </w:rPr>
        <w:t>Section 102(b)</w:t>
      </w:r>
      <w:r w:rsidRPr="00883454">
        <w:rPr>
          <w:rFonts w:ascii="Georgia" w:hAnsi="Georgia" w:cs="Times New Roman"/>
          <w:color w:val="000000" w:themeColor="text1"/>
        </w:rPr>
        <w:fldChar w:fldCharType="end"/>
      </w:r>
      <w:r w:rsidRPr="00883454">
        <w:rPr>
          <w:rFonts w:ascii="Georgia" w:hAnsi="Georgia" w:cs="Times New Roman"/>
          <w:color w:val="000000" w:themeColor="text1"/>
        </w:rPr>
        <w:t xml:space="preserve"> expressly excludes protection for “any idea, procedure, process, system, method of operation, concept, principle, or discovery, regardless of the form in which it is described, explained, illustrated, or embodied in such work.” </w:t>
      </w:r>
      <w:hyperlink r:id="rId11" w:anchor="co_pp_a83b000018c76" w:history="1">
        <w:r w:rsidRPr="00883454">
          <w:rPr>
            <w:rFonts w:ascii="Georgia" w:hAnsi="Georgia" w:cs="Times New Roman"/>
            <w:i/>
            <w:iCs/>
            <w:color w:val="000000" w:themeColor="text1"/>
          </w:rPr>
          <w:t>Id.</w:t>
        </w:r>
        <w:r w:rsidRPr="00883454">
          <w:rPr>
            <w:rFonts w:ascii="Georgia" w:hAnsi="Georgia" w:cs="Times New Roman"/>
            <w:color w:val="000000" w:themeColor="text1"/>
          </w:rPr>
          <w:t xml:space="preserve"> § 102(b)</w:t>
        </w:r>
      </w:hyperlink>
      <w:r w:rsidRPr="00883454">
        <w:rPr>
          <w:rFonts w:ascii="Georgia" w:hAnsi="Georgia" w:cs="Times New Roman"/>
          <w:color w:val="000000" w:themeColor="text1"/>
        </w:rPr>
        <w:t xml:space="preserve">. </w:t>
      </w:r>
      <w:hyperlink r:id="rId12" w:anchor="co_pp_a83b000018c76" w:history="1">
        <w:r w:rsidRPr="00883454">
          <w:rPr>
            <w:rFonts w:ascii="Georgia" w:hAnsi="Georgia" w:cs="Times New Roman"/>
            <w:color w:val="000000" w:themeColor="text1"/>
          </w:rPr>
          <w:t>Section 102(b)</w:t>
        </w:r>
      </w:hyperlink>
      <w:r w:rsidRPr="00883454">
        <w:rPr>
          <w:rFonts w:ascii="Georgia" w:hAnsi="Georgia" w:cs="Times New Roman"/>
          <w:color w:val="000000" w:themeColor="text1"/>
        </w:rPr>
        <w:t xml:space="preserve"> codifies the “idea/expression dichotomy,” under which “every idea, theory, and fact in a copyrighted work becomes instantly available for public exploitation at the moment of publication.” </w:t>
      </w:r>
      <w:hyperlink r:id="rId13" w:anchor="co_pp_sp_708_890" w:history="1">
        <w:r w:rsidRPr="00883454">
          <w:rPr>
            <w:rFonts w:ascii="Georgia" w:hAnsi="Georgia" w:cs="Times New Roman"/>
            <w:i/>
            <w:iCs/>
            <w:color w:val="000000" w:themeColor="text1"/>
          </w:rPr>
          <w:t>Golan v. Holder,</w:t>
        </w:r>
        <w:r w:rsidRPr="00883454">
          <w:rPr>
            <w:rFonts w:ascii="Georgia" w:hAnsi="Georgia" w:cs="Times New Roman"/>
            <w:color w:val="000000" w:themeColor="text1"/>
          </w:rPr>
          <w:t xml:space="preserve"> ––– U.S. ––––, 132 </w:t>
        </w:r>
        <w:proofErr w:type="spellStart"/>
        <w:r w:rsidRPr="00883454">
          <w:rPr>
            <w:rFonts w:ascii="Georgia" w:hAnsi="Georgia" w:cs="Times New Roman"/>
            <w:color w:val="000000" w:themeColor="text1"/>
          </w:rPr>
          <w:t>S.Ct</w:t>
        </w:r>
        <w:proofErr w:type="spellEnd"/>
        <w:r w:rsidRPr="00883454">
          <w:rPr>
            <w:rFonts w:ascii="Georgia" w:hAnsi="Georgia" w:cs="Times New Roman"/>
            <w:color w:val="000000" w:themeColor="text1"/>
          </w:rPr>
          <w:t xml:space="preserve">. 873, 890 </w:t>
        </w:r>
        <w:r w:rsidRPr="00883454">
          <w:rPr>
            <w:rFonts w:ascii="Georgia" w:hAnsi="Georgia" w:cs="Times New Roman"/>
            <w:color w:val="000000" w:themeColor="text1"/>
          </w:rPr>
          <w:lastRenderedPageBreak/>
          <w:t>(2012)</w:t>
        </w:r>
      </w:hyperlink>
      <w:r w:rsidRPr="00883454">
        <w:rPr>
          <w:rFonts w:ascii="Georgia" w:hAnsi="Georgia" w:cs="Times New Roman"/>
          <w:color w:val="000000" w:themeColor="text1"/>
        </w:rPr>
        <w:t xml:space="preserve"> (quoting </w:t>
      </w:r>
      <w:hyperlink r:id="rId14" w:history="1">
        <w:r w:rsidRPr="00883454">
          <w:rPr>
            <w:rFonts w:ascii="Georgia" w:hAnsi="Georgia" w:cs="Times New Roman"/>
            <w:i/>
            <w:iCs/>
            <w:color w:val="000000" w:themeColor="text1"/>
          </w:rPr>
          <w:t>Eldred v. Ashcroft,</w:t>
        </w:r>
        <w:r w:rsidRPr="00883454">
          <w:rPr>
            <w:rFonts w:ascii="Georgia" w:hAnsi="Georgia" w:cs="Times New Roman"/>
            <w:color w:val="000000" w:themeColor="text1"/>
          </w:rPr>
          <w:t xml:space="preserve"> 537 U.S. 186, 219</w:t>
        </w:r>
        <w:r w:rsidR="00106987" w:rsidRPr="00883454">
          <w:rPr>
            <w:rFonts w:ascii="Georgia" w:hAnsi="Georgia" w:cs="Times New Roman"/>
            <w:color w:val="000000" w:themeColor="text1"/>
          </w:rPr>
          <w:t xml:space="preserve"> </w:t>
        </w:r>
        <w:r w:rsidRPr="00883454">
          <w:rPr>
            <w:rFonts w:ascii="Georgia" w:hAnsi="Georgia" w:cs="Times New Roman"/>
            <w:color w:val="000000" w:themeColor="text1"/>
          </w:rPr>
          <w:t>(2003)</w:t>
        </w:r>
      </w:hyperlink>
      <w:r w:rsidRPr="00883454">
        <w:rPr>
          <w:rFonts w:ascii="Georgia" w:hAnsi="Georgia" w:cs="Times New Roman"/>
          <w:color w:val="000000" w:themeColor="text1"/>
        </w:rPr>
        <w:t xml:space="preserve">); </w:t>
      </w:r>
      <w:r w:rsidRPr="00883454">
        <w:rPr>
          <w:rFonts w:ascii="Georgia" w:hAnsi="Georgia" w:cs="Times New Roman"/>
          <w:i/>
          <w:iCs/>
          <w:color w:val="000000" w:themeColor="text1"/>
        </w:rPr>
        <w:t xml:space="preserve">see also </w:t>
      </w:r>
      <w:hyperlink r:id="rId15" w:anchor="co_pp_sp_350_529" w:history="1">
        <w:proofErr w:type="spellStart"/>
        <w:r w:rsidRPr="00883454">
          <w:rPr>
            <w:rFonts w:ascii="Georgia" w:hAnsi="Georgia" w:cs="Times New Roman"/>
            <w:i/>
            <w:iCs/>
            <w:color w:val="000000" w:themeColor="text1"/>
          </w:rPr>
          <w:t>Frybarger</w:t>
        </w:r>
        <w:proofErr w:type="spellEnd"/>
        <w:r w:rsidRPr="00883454">
          <w:rPr>
            <w:rFonts w:ascii="Georgia" w:hAnsi="Georgia" w:cs="Times New Roman"/>
            <w:i/>
            <w:iCs/>
            <w:color w:val="000000" w:themeColor="text1"/>
          </w:rPr>
          <w:t xml:space="preserve"> v. Int’l Bus. </w:t>
        </w:r>
        <w:proofErr w:type="spellStart"/>
        <w:r w:rsidRPr="00883454">
          <w:rPr>
            <w:rFonts w:ascii="Georgia" w:hAnsi="Georgia" w:cs="Times New Roman"/>
            <w:i/>
            <w:iCs/>
            <w:color w:val="000000" w:themeColor="text1"/>
          </w:rPr>
          <w:t>Machs</w:t>
        </w:r>
        <w:proofErr w:type="spellEnd"/>
        <w:r w:rsidRPr="00883454">
          <w:rPr>
            <w:rFonts w:ascii="Georgia" w:hAnsi="Georgia" w:cs="Times New Roman"/>
            <w:i/>
            <w:iCs/>
            <w:color w:val="000000" w:themeColor="text1"/>
          </w:rPr>
          <w:t>. Corp.,</w:t>
        </w:r>
        <w:r w:rsidRPr="00883454">
          <w:rPr>
            <w:rFonts w:ascii="Georgia" w:hAnsi="Georgia" w:cs="Times New Roman"/>
            <w:color w:val="000000" w:themeColor="text1"/>
          </w:rPr>
          <w:t xml:space="preserve"> 812 F.2d 525, 529 (9th Cir.1987)</w:t>
        </w:r>
      </w:hyperlink>
      <w:r w:rsidRPr="00883454">
        <w:rPr>
          <w:rFonts w:ascii="Georgia" w:hAnsi="Georgia" w:cs="Times New Roman"/>
          <w:color w:val="000000" w:themeColor="text1"/>
        </w:rPr>
        <w:t xml:space="preserve"> (explaining that </w:t>
      </w:r>
      <w:hyperlink r:id="rId16" w:anchor="co_pp_a83b000018c76" w:history="1">
        <w:r w:rsidRPr="00883454">
          <w:rPr>
            <w:rFonts w:ascii="Georgia" w:hAnsi="Georgia" w:cs="Times New Roman"/>
            <w:color w:val="000000" w:themeColor="text1"/>
          </w:rPr>
          <w:t>Section 102(b)</w:t>
        </w:r>
      </w:hyperlink>
      <w:r w:rsidRPr="00883454">
        <w:rPr>
          <w:rFonts w:ascii="Georgia" w:hAnsi="Georgia" w:cs="Times New Roman"/>
          <w:color w:val="000000" w:themeColor="text1"/>
        </w:rPr>
        <w:t xml:space="preserve"> “expressly codified” this principle); </w:t>
      </w:r>
      <w:hyperlink r:id="rId17" w:history="1">
        <w:proofErr w:type="spellStart"/>
        <w:r w:rsidRPr="00883454">
          <w:rPr>
            <w:rFonts w:ascii="Georgia" w:hAnsi="Georgia" w:cs="Times New Roman"/>
            <w:color w:val="000000" w:themeColor="text1"/>
          </w:rPr>
          <w:t>H.R.Rep</w:t>
        </w:r>
        <w:proofErr w:type="spellEnd"/>
        <w:r w:rsidRPr="00883454">
          <w:rPr>
            <w:rFonts w:ascii="Georgia" w:hAnsi="Georgia" w:cs="Times New Roman"/>
            <w:color w:val="000000" w:themeColor="text1"/>
          </w:rPr>
          <w:t>. No. 94–1476, at 57</w:t>
        </w:r>
      </w:hyperlink>
      <w:r w:rsidRPr="00883454">
        <w:rPr>
          <w:rFonts w:ascii="Georgia" w:hAnsi="Georgia" w:cs="Times New Roman"/>
          <w:color w:val="000000" w:themeColor="text1"/>
        </w:rPr>
        <w:t xml:space="preserve"> (1976) (explaining that the “purpose [of </w:t>
      </w:r>
      <w:hyperlink r:id="rId18" w:anchor="co_pp_a83b000018c76" w:history="1">
        <w:r w:rsidRPr="00883454">
          <w:rPr>
            <w:rFonts w:ascii="Georgia" w:hAnsi="Georgia" w:cs="Times New Roman"/>
            <w:color w:val="000000" w:themeColor="text1"/>
          </w:rPr>
          <w:t>Section 102(b)</w:t>
        </w:r>
      </w:hyperlink>
      <w:r w:rsidRPr="00883454">
        <w:rPr>
          <w:rFonts w:ascii="Georgia" w:hAnsi="Georgia" w:cs="Times New Roman"/>
          <w:color w:val="000000" w:themeColor="text1"/>
        </w:rPr>
        <w:t xml:space="preserve"> ] is to restate ... that the basic dichotomy between expression and idea remains unchanged”).</w:t>
      </w:r>
    </w:p>
    <w:p w:rsidR="00665CB9" w:rsidRPr="00883454" w:rsidRDefault="00665CB9" w:rsidP="00883454">
      <w:pPr>
        <w:widowControl w:val="0"/>
        <w:autoSpaceDE w:val="0"/>
        <w:autoSpaceDN w:val="0"/>
        <w:adjustRightInd w:val="0"/>
        <w:spacing w:after="0" w:line="240" w:lineRule="auto"/>
        <w:ind w:firstLine="720"/>
        <w:jc w:val="both"/>
        <w:rPr>
          <w:rFonts w:ascii="Georgia" w:hAnsi="Georgia" w:cs="Times New Roman"/>
          <w:color w:val="000000" w:themeColor="text1"/>
        </w:rPr>
      </w:pPr>
      <w:r w:rsidRPr="00883454">
        <w:rPr>
          <w:rFonts w:ascii="Georgia" w:hAnsi="Georgia" w:cs="Times New Roman"/>
          <w:color w:val="000000" w:themeColor="text1"/>
        </w:rPr>
        <w:t> </w:t>
      </w:r>
    </w:p>
    <w:p w:rsidR="00665CB9" w:rsidRPr="00883454" w:rsidRDefault="00106987" w:rsidP="00883454">
      <w:pPr>
        <w:widowControl w:val="0"/>
        <w:autoSpaceDE w:val="0"/>
        <w:autoSpaceDN w:val="0"/>
        <w:adjustRightInd w:val="0"/>
        <w:spacing w:after="0" w:line="240" w:lineRule="auto"/>
        <w:ind w:firstLine="720"/>
        <w:jc w:val="both"/>
        <w:rPr>
          <w:rFonts w:ascii="Georgia" w:hAnsi="Georgia" w:cs="Times New Roman"/>
          <w:color w:val="000000" w:themeColor="text1"/>
        </w:rPr>
      </w:pPr>
      <w:r w:rsidRPr="00883454">
        <w:rPr>
          <w:rFonts w:ascii="Georgia" w:hAnsi="Georgia" w:cs="Times New Roman"/>
          <w:color w:val="000000" w:themeColor="text1"/>
        </w:rPr>
        <w:t>T</w:t>
      </w:r>
      <w:r w:rsidR="00665CB9" w:rsidRPr="00883454">
        <w:rPr>
          <w:rFonts w:ascii="Georgia" w:hAnsi="Georgia" w:cs="Times New Roman"/>
          <w:color w:val="000000" w:themeColor="text1"/>
        </w:rPr>
        <w:t xml:space="preserve">he idea/expression dichotomy has two constitutional foundations: the Copyright Clause and the First Amendment. Under the Copyright Clause, “[t]he primary objective of copyright is not to reward the labor of authors, but ‘[t]o promote the Progress of Science and useful Arts.’ ” </w:t>
      </w:r>
      <w:hyperlink r:id="rId19" w:history="1">
        <w:r w:rsidR="00665CB9" w:rsidRPr="00883454">
          <w:rPr>
            <w:rFonts w:ascii="Georgia" w:hAnsi="Georgia" w:cs="Times New Roman"/>
            <w:i/>
            <w:iCs/>
            <w:color w:val="000000" w:themeColor="text1"/>
          </w:rPr>
          <w:t xml:space="preserve">Feist </w:t>
        </w:r>
        <w:proofErr w:type="spellStart"/>
        <w:r w:rsidR="00665CB9" w:rsidRPr="00883454">
          <w:rPr>
            <w:rFonts w:ascii="Georgia" w:hAnsi="Georgia" w:cs="Times New Roman"/>
            <w:i/>
            <w:iCs/>
            <w:color w:val="000000" w:themeColor="text1"/>
          </w:rPr>
          <w:t>Publ’ns</w:t>
        </w:r>
        <w:proofErr w:type="spellEnd"/>
        <w:r w:rsidR="00665CB9" w:rsidRPr="00883454">
          <w:rPr>
            <w:rFonts w:ascii="Georgia" w:hAnsi="Georgia" w:cs="Times New Roman"/>
            <w:i/>
            <w:iCs/>
            <w:color w:val="000000" w:themeColor="text1"/>
          </w:rPr>
          <w:t>, Inc. v. Rural Tel. Serv. Co.,</w:t>
        </w:r>
        <w:r w:rsidR="00665CB9" w:rsidRPr="00883454">
          <w:rPr>
            <w:rFonts w:ascii="Georgia" w:hAnsi="Georgia" w:cs="Times New Roman"/>
            <w:color w:val="000000" w:themeColor="text1"/>
          </w:rPr>
          <w:t xml:space="preserve"> 499 U.S. 340, 349</w:t>
        </w:r>
        <w:r w:rsidRPr="00883454">
          <w:rPr>
            <w:rFonts w:ascii="Georgia" w:hAnsi="Georgia" w:cs="Times New Roman"/>
            <w:color w:val="000000" w:themeColor="text1"/>
          </w:rPr>
          <w:t xml:space="preserve"> </w:t>
        </w:r>
        <w:r w:rsidR="00665CB9" w:rsidRPr="00883454">
          <w:rPr>
            <w:rFonts w:ascii="Georgia" w:hAnsi="Georgia" w:cs="Times New Roman"/>
            <w:color w:val="000000" w:themeColor="text1"/>
          </w:rPr>
          <w:t>(1991)</w:t>
        </w:r>
      </w:hyperlink>
      <w:r w:rsidR="00665CB9" w:rsidRPr="00883454">
        <w:rPr>
          <w:rFonts w:ascii="Georgia" w:hAnsi="Georgia" w:cs="Times New Roman"/>
          <w:color w:val="000000" w:themeColor="text1"/>
        </w:rPr>
        <w:t xml:space="preserve"> (quoting </w:t>
      </w:r>
      <w:hyperlink r:id="rId20" w:history="1">
        <w:r w:rsidR="00665CB9" w:rsidRPr="00883454">
          <w:rPr>
            <w:rFonts w:ascii="Georgia" w:hAnsi="Georgia" w:cs="Times New Roman"/>
            <w:color w:val="000000" w:themeColor="text1"/>
          </w:rPr>
          <w:t>U.S. Const. art. I, § 8, cl. 8</w:t>
        </w:r>
      </w:hyperlink>
      <w:r w:rsidR="00665CB9" w:rsidRPr="00883454">
        <w:rPr>
          <w:rFonts w:ascii="Georgia" w:hAnsi="Georgia" w:cs="Times New Roman"/>
          <w:color w:val="000000" w:themeColor="text1"/>
        </w:rPr>
        <w:t xml:space="preserve">). Thus, “[t]he ‘constitutional command’ ... is that Congress, to the extent it enacts copyright laws at all, create a ‘system’ that ‘promote[s] the Progress of Science.’ ” </w:t>
      </w:r>
      <w:hyperlink r:id="rId21" w:history="1">
        <w:r w:rsidR="00665CB9" w:rsidRPr="00883454">
          <w:rPr>
            <w:rFonts w:ascii="Georgia" w:hAnsi="Georgia" w:cs="Times New Roman"/>
            <w:i/>
            <w:iCs/>
            <w:color w:val="000000" w:themeColor="text1"/>
          </w:rPr>
          <w:t>Eldred,</w:t>
        </w:r>
        <w:r w:rsidR="00665CB9" w:rsidRPr="00883454">
          <w:rPr>
            <w:rFonts w:ascii="Georgia" w:hAnsi="Georgia" w:cs="Times New Roman"/>
            <w:color w:val="000000" w:themeColor="text1"/>
          </w:rPr>
          <w:t xml:space="preserve"> 537 U.S. at 212</w:t>
        </w:r>
        <w:r w:rsidRPr="00883454">
          <w:rPr>
            <w:rFonts w:ascii="Georgia" w:hAnsi="Georgia" w:cs="Times New Roman"/>
            <w:color w:val="000000" w:themeColor="text1"/>
          </w:rPr>
          <w:t xml:space="preserve"> </w:t>
        </w:r>
      </w:hyperlink>
      <w:r w:rsidR="00665CB9" w:rsidRPr="00883454">
        <w:rPr>
          <w:rFonts w:ascii="Georgia" w:hAnsi="Georgia" w:cs="Times New Roman"/>
          <w:color w:val="000000" w:themeColor="text1"/>
        </w:rPr>
        <w:t xml:space="preserve">(quoting </w:t>
      </w:r>
      <w:hyperlink r:id="rId22" w:history="1">
        <w:r w:rsidR="00665CB9" w:rsidRPr="00883454">
          <w:rPr>
            <w:rFonts w:ascii="Georgia" w:hAnsi="Georgia" w:cs="Times New Roman"/>
            <w:i/>
            <w:iCs/>
            <w:color w:val="000000" w:themeColor="text1"/>
          </w:rPr>
          <w:t>Graham v. John Deere Co. of Kansas City,</w:t>
        </w:r>
        <w:r w:rsidR="00665CB9" w:rsidRPr="00883454">
          <w:rPr>
            <w:rFonts w:ascii="Georgia" w:hAnsi="Georgia" w:cs="Times New Roman"/>
            <w:color w:val="000000" w:themeColor="text1"/>
          </w:rPr>
          <w:t xml:space="preserve"> 383 U.S. 1 (1966)</w:t>
        </w:r>
      </w:hyperlink>
      <w:r w:rsidR="00665CB9" w:rsidRPr="00883454">
        <w:rPr>
          <w:rFonts w:ascii="Georgia" w:hAnsi="Georgia" w:cs="Times New Roman"/>
          <w:color w:val="000000" w:themeColor="text1"/>
        </w:rPr>
        <w:t xml:space="preserve">). “To this end, copyright assures authors the right to their original expression, but encourages others to build freely upon the ideas and information conveyed by a work.” </w:t>
      </w:r>
      <w:hyperlink r:id="rId23" w:history="1">
        <w:r w:rsidR="00665CB9" w:rsidRPr="00883454">
          <w:rPr>
            <w:rFonts w:ascii="Georgia" w:hAnsi="Georgia" w:cs="Times New Roman"/>
            <w:i/>
            <w:iCs/>
            <w:color w:val="000000" w:themeColor="text1"/>
          </w:rPr>
          <w:t>Feist,</w:t>
        </w:r>
        <w:r w:rsidR="00665CB9" w:rsidRPr="00883454">
          <w:rPr>
            <w:rFonts w:ascii="Georgia" w:hAnsi="Georgia" w:cs="Times New Roman"/>
            <w:color w:val="000000" w:themeColor="text1"/>
          </w:rPr>
          <w:t xml:space="preserve"> 499 U.S. at 349–50</w:t>
        </w:r>
      </w:hyperlink>
      <w:r w:rsidR="00665CB9" w:rsidRPr="00883454">
        <w:rPr>
          <w:rFonts w:ascii="Georgia" w:hAnsi="Georgia" w:cs="Times New Roman"/>
          <w:color w:val="000000" w:themeColor="text1"/>
        </w:rPr>
        <w:t xml:space="preserve">. At the same time, the idea/expression dichotomy “strike[s] a definitional balance between the First Amendment and the Copyright Act by permitting free communication of facts while still protecting an author’s expression.” </w:t>
      </w:r>
      <w:hyperlink r:id="rId24" w:history="1">
        <w:r w:rsidR="00665CB9" w:rsidRPr="00883454">
          <w:rPr>
            <w:rFonts w:ascii="Georgia" w:hAnsi="Georgia" w:cs="Times New Roman"/>
            <w:i/>
            <w:iCs/>
            <w:color w:val="000000" w:themeColor="text1"/>
          </w:rPr>
          <w:t>Harper &amp; Row Publishers v. Nation Enters.,</w:t>
        </w:r>
        <w:r w:rsidR="00665CB9" w:rsidRPr="00883454">
          <w:rPr>
            <w:rFonts w:ascii="Georgia" w:hAnsi="Georgia" w:cs="Times New Roman"/>
            <w:color w:val="000000" w:themeColor="text1"/>
          </w:rPr>
          <w:t xml:space="preserve"> 471 U.S. 539, 556</w:t>
        </w:r>
        <w:r w:rsidRPr="00883454">
          <w:rPr>
            <w:rFonts w:ascii="Georgia" w:hAnsi="Georgia" w:cs="Times New Roman"/>
            <w:color w:val="000000" w:themeColor="text1"/>
          </w:rPr>
          <w:t xml:space="preserve"> </w:t>
        </w:r>
        <w:r w:rsidR="00665CB9" w:rsidRPr="00883454">
          <w:rPr>
            <w:rFonts w:ascii="Georgia" w:hAnsi="Georgia" w:cs="Times New Roman"/>
            <w:color w:val="000000" w:themeColor="text1"/>
          </w:rPr>
          <w:t>(1985)</w:t>
        </w:r>
      </w:hyperlink>
      <w:r w:rsidR="00665CB9" w:rsidRPr="00883454">
        <w:rPr>
          <w:rFonts w:ascii="Georgia" w:hAnsi="Georgia" w:cs="Times New Roman"/>
          <w:color w:val="000000" w:themeColor="text1"/>
        </w:rPr>
        <w:t xml:space="preserve">; </w:t>
      </w:r>
      <w:r w:rsidR="00665CB9" w:rsidRPr="00883454">
        <w:rPr>
          <w:rFonts w:ascii="Georgia" w:hAnsi="Georgia" w:cs="Times New Roman"/>
          <w:i/>
          <w:iCs/>
          <w:color w:val="000000" w:themeColor="text1"/>
        </w:rPr>
        <w:t xml:space="preserve">see also </w:t>
      </w:r>
      <w:hyperlink r:id="rId25" w:history="1">
        <w:r w:rsidR="00665CB9" w:rsidRPr="00883454">
          <w:rPr>
            <w:rFonts w:ascii="Georgia" w:hAnsi="Georgia" w:cs="Times New Roman"/>
            <w:i/>
            <w:iCs/>
            <w:color w:val="000000" w:themeColor="text1"/>
          </w:rPr>
          <w:t>Eldred,</w:t>
        </w:r>
        <w:r w:rsidR="00665CB9" w:rsidRPr="00883454">
          <w:rPr>
            <w:rFonts w:ascii="Georgia" w:hAnsi="Georgia" w:cs="Times New Roman"/>
            <w:color w:val="000000" w:themeColor="text1"/>
          </w:rPr>
          <w:t xml:space="preserve"> 537 U.S. at 219</w:t>
        </w:r>
        <w:r w:rsidRPr="00883454">
          <w:rPr>
            <w:rFonts w:ascii="Georgia" w:hAnsi="Georgia" w:cs="Times New Roman"/>
            <w:color w:val="000000" w:themeColor="text1"/>
          </w:rPr>
          <w:t xml:space="preserve"> </w:t>
        </w:r>
        <w:r w:rsidR="00665CB9" w:rsidRPr="00883454">
          <w:rPr>
            <w:rFonts w:ascii="Georgia" w:hAnsi="Georgia" w:cs="Times New Roman"/>
            <w:color w:val="000000" w:themeColor="text1"/>
          </w:rPr>
          <w:t>769</w:t>
        </w:r>
      </w:hyperlink>
      <w:r w:rsidR="00665CB9" w:rsidRPr="00883454">
        <w:rPr>
          <w:rFonts w:ascii="Georgia" w:hAnsi="Georgia" w:cs="Times New Roman"/>
          <w:color w:val="000000" w:themeColor="text1"/>
        </w:rPr>
        <w:t xml:space="preserve"> (describing the idea/expression dichotomy as a “built-in First Amendment accommodation[ ]”); </w:t>
      </w:r>
      <w:hyperlink r:id="rId26" w:anchor="co_pp_sp_350_795" w:history="1">
        <w:r w:rsidR="00665CB9" w:rsidRPr="00883454">
          <w:rPr>
            <w:rFonts w:ascii="Georgia" w:hAnsi="Georgia" w:cs="Times New Roman"/>
            <w:i/>
            <w:iCs/>
            <w:color w:val="000000" w:themeColor="text1"/>
          </w:rPr>
          <w:t xml:space="preserve">L.A. News Serv. v. </w:t>
        </w:r>
        <w:proofErr w:type="spellStart"/>
        <w:r w:rsidR="00665CB9" w:rsidRPr="00883454">
          <w:rPr>
            <w:rFonts w:ascii="Georgia" w:hAnsi="Georgia" w:cs="Times New Roman"/>
            <w:i/>
            <w:iCs/>
            <w:color w:val="000000" w:themeColor="text1"/>
          </w:rPr>
          <w:t>Tullo</w:t>
        </w:r>
        <w:proofErr w:type="spellEnd"/>
        <w:r w:rsidR="00665CB9" w:rsidRPr="00883454">
          <w:rPr>
            <w:rFonts w:ascii="Georgia" w:hAnsi="Georgia" w:cs="Times New Roman"/>
            <w:i/>
            <w:iCs/>
            <w:color w:val="000000" w:themeColor="text1"/>
          </w:rPr>
          <w:t>,</w:t>
        </w:r>
        <w:r w:rsidR="00665CB9" w:rsidRPr="00883454">
          <w:rPr>
            <w:rFonts w:ascii="Georgia" w:hAnsi="Georgia" w:cs="Times New Roman"/>
            <w:color w:val="000000" w:themeColor="text1"/>
          </w:rPr>
          <w:t xml:space="preserve"> 973 F.2d 791, 795 (9th Cir.1992)</w:t>
        </w:r>
      </w:hyperlink>
      <w:r w:rsidR="00665CB9" w:rsidRPr="00883454">
        <w:rPr>
          <w:rFonts w:ascii="Georgia" w:hAnsi="Georgia" w:cs="Times New Roman"/>
          <w:color w:val="000000" w:themeColor="text1"/>
        </w:rPr>
        <w:t xml:space="preserve"> (“Copyright law incorporates First Amendment goals by ensuring that copyright protection extends only to the forms in which ideas and information are expressed and not to the ideas and information themselves.”); 5 Melville B. </w:t>
      </w:r>
      <w:proofErr w:type="spellStart"/>
      <w:r w:rsidR="00665CB9" w:rsidRPr="00883454">
        <w:rPr>
          <w:rFonts w:ascii="Georgia" w:hAnsi="Georgia" w:cs="Times New Roman"/>
          <w:color w:val="000000" w:themeColor="text1"/>
        </w:rPr>
        <w:t>Nimmer</w:t>
      </w:r>
      <w:proofErr w:type="spellEnd"/>
      <w:r w:rsidR="00665CB9" w:rsidRPr="00883454">
        <w:rPr>
          <w:rFonts w:ascii="Georgia" w:hAnsi="Georgia" w:cs="Times New Roman"/>
          <w:color w:val="000000" w:themeColor="text1"/>
        </w:rPr>
        <w:t xml:space="preserve"> &amp; David </w:t>
      </w:r>
      <w:proofErr w:type="spellStart"/>
      <w:r w:rsidR="00665CB9" w:rsidRPr="00883454">
        <w:rPr>
          <w:rFonts w:ascii="Georgia" w:hAnsi="Georgia" w:cs="Times New Roman"/>
          <w:color w:val="000000" w:themeColor="text1"/>
        </w:rPr>
        <w:t>Nimmer</w:t>
      </w:r>
      <w:proofErr w:type="spellEnd"/>
      <w:r w:rsidR="00665CB9" w:rsidRPr="00883454">
        <w:rPr>
          <w:rFonts w:ascii="Georgia" w:hAnsi="Georgia" w:cs="Times New Roman"/>
          <w:color w:val="000000" w:themeColor="text1"/>
        </w:rPr>
        <w:t xml:space="preserve">, </w:t>
      </w:r>
      <w:proofErr w:type="spellStart"/>
      <w:r w:rsidR="00665CB9" w:rsidRPr="00883454">
        <w:rPr>
          <w:rFonts w:ascii="Georgia" w:hAnsi="Georgia" w:cs="Times New Roman"/>
          <w:i/>
          <w:iCs/>
          <w:color w:val="000000" w:themeColor="text1"/>
        </w:rPr>
        <w:t>Nimmer</w:t>
      </w:r>
      <w:proofErr w:type="spellEnd"/>
      <w:r w:rsidR="00665CB9" w:rsidRPr="00883454">
        <w:rPr>
          <w:rFonts w:ascii="Georgia" w:hAnsi="Georgia" w:cs="Times New Roman"/>
          <w:i/>
          <w:iCs/>
          <w:color w:val="000000" w:themeColor="text1"/>
        </w:rPr>
        <w:t xml:space="preserve"> on Copyright</w:t>
      </w:r>
      <w:r w:rsidR="00665CB9" w:rsidRPr="00883454">
        <w:rPr>
          <w:rFonts w:ascii="Georgia" w:hAnsi="Georgia" w:cs="Times New Roman"/>
          <w:color w:val="000000" w:themeColor="text1"/>
        </w:rPr>
        <w:t xml:space="preserve"> § 19E.04[B] (2015) (“[F]</w:t>
      </w:r>
      <w:proofErr w:type="spellStart"/>
      <w:r w:rsidR="00665CB9" w:rsidRPr="00883454">
        <w:rPr>
          <w:rFonts w:ascii="Georgia" w:hAnsi="Georgia" w:cs="Times New Roman"/>
          <w:color w:val="000000" w:themeColor="text1"/>
        </w:rPr>
        <w:t>ree</w:t>
      </w:r>
      <w:proofErr w:type="spellEnd"/>
      <w:r w:rsidR="00665CB9" w:rsidRPr="00883454">
        <w:rPr>
          <w:rFonts w:ascii="Georgia" w:hAnsi="Georgia" w:cs="Times New Roman"/>
          <w:color w:val="000000" w:themeColor="text1"/>
        </w:rPr>
        <w:t xml:space="preserve"> access to ideas is vital not only for copyright law but also for the maintenance of the democratic dialogue....”).</w:t>
      </w:r>
    </w:p>
    <w:p w:rsidR="00665CB9" w:rsidRPr="00883454" w:rsidRDefault="00665CB9" w:rsidP="00883454">
      <w:pPr>
        <w:widowControl w:val="0"/>
        <w:autoSpaceDE w:val="0"/>
        <w:autoSpaceDN w:val="0"/>
        <w:adjustRightInd w:val="0"/>
        <w:spacing w:after="0" w:line="240" w:lineRule="auto"/>
        <w:ind w:firstLine="720"/>
        <w:jc w:val="both"/>
        <w:rPr>
          <w:rFonts w:ascii="Georgia" w:hAnsi="Georgia" w:cs="Times New Roman"/>
          <w:color w:val="000000" w:themeColor="text1"/>
        </w:rPr>
      </w:pPr>
      <w:r w:rsidRPr="00883454">
        <w:rPr>
          <w:rFonts w:ascii="Georgia" w:hAnsi="Georgia" w:cs="Times New Roman"/>
          <w:color w:val="000000" w:themeColor="text1"/>
        </w:rPr>
        <w:t> </w:t>
      </w:r>
    </w:p>
    <w:p w:rsidR="00665CB9" w:rsidRPr="00883454" w:rsidRDefault="00665CB9" w:rsidP="00883454">
      <w:pPr>
        <w:widowControl w:val="0"/>
        <w:autoSpaceDE w:val="0"/>
        <w:autoSpaceDN w:val="0"/>
        <w:adjustRightInd w:val="0"/>
        <w:spacing w:after="0" w:line="240" w:lineRule="auto"/>
        <w:ind w:firstLine="720"/>
        <w:jc w:val="both"/>
        <w:rPr>
          <w:rFonts w:ascii="Georgia" w:hAnsi="Georgia" w:cs="Times New Roman"/>
          <w:color w:val="000000" w:themeColor="text1"/>
        </w:rPr>
      </w:pPr>
      <w:r w:rsidRPr="00883454">
        <w:rPr>
          <w:rFonts w:ascii="Georgia" w:hAnsi="Georgia" w:cs="Times New Roman"/>
          <w:color w:val="000000" w:themeColor="text1"/>
        </w:rPr>
        <w:t xml:space="preserve">In </w:t>
      </w:r>
      <w:hyperlink r:id="rId27" w:history="1">
        <w:r w:rsidRPr="00883454">
          <w:rPr>
            <w:rFonts w:ascii="Georgia" w:hAnsi="Georgia" w:cs="Times New Roman"/>
            <w:i/>
            <w:iCs/>
            <w:color w:val="000000" w:themeColor="text1"/>
          </w:rPr>
          <w:t>Baker v. Selden,</w:t>
        </w:r>
        <w:r w:rsidRPr="00883454">
          <w:rPr>
            <w:rFonts w:ascii="Georgia" w:hAnsi="Georgia" w:cs="Times New Roman"/>
            <w:color w:val="000000" w:themeColor="text1"/>
          </w:rPr>
          <w:t xml:space="preserve"> 101 U.S. 99</w:t>
        </w:r>
        <w:r w:rsidR="00106987" w:rsidRPr="00883454">
          <w:rPr>
            <w:rFonts w:ascii="Georgia" w:hAnsi="Georgia" w:cs="Times New Roman"/>
            <w:color w:val="000000" w:themeColor="text1"/>
          </w:rPr>
          <w:t xml:space="preserve"> </w:t>
        </w:r>
        <w:r w:rsidRPr="00883454">
          <w:rPr>
            <w:rFonts w:ascii="Georgia" w:hAnsi="Georgia" w:cs="Times New Roman"/>
            <w:color w:val="000000" w:themeColor="text1"/>
          </w:rPr>
          <w:t>(1879)</w:t>
        </w:r>
      </w:hyperlink>
      <w:r w:rsidRPr="00883454">
        <w:rPr>
          <w:rFonts w:ascii="Georgia" w:hAnsi="Georgia" w:cs="Times New Roman"/>
          <w:color w:val="000000" w:themeColor="text1"/>
        </w:rPr>
        <w:t xml:space="preserve">, the Supreme Court addressed the protection copyright law provided to a book, a classic subject of copyright protection, explaining a </w:t>
      </w:r>
      <w:r w:rsidRPr="00883454">
        <w:rPr>
          <w:rFonts w:ascii="Georgia" w:hAnsi="Georgia" w:cs="Times New Roman"/>
          <w:i/>
          <w:iCs/>
          <w:color w:val="000000" w:themeColor="text1"/>
        </w:rPr>
        <w:t>system</w:t>
      </w:r>
      <w:r w:rsidRPr="00883454">
        <w:rPr>
          <w:rFonts w:ascii="Georgia" w:hAnsi="Georgia" w:cs="Times New Roman"/>
          <w:color w:val="000000" w:themeColor="text1"/>
        </w:rPr>
        <w:t xml:space="preserve"> of book-keeping. </w:t>
      </w:r>
      <w:hyperlink r:id="rId28" w:anchor="co_pp_sp_780_99" w:history="1">
        <w:r w:rsidRPr="00883454">
          <w:rPr>
            <w:rFonts w:ascii="Georgia" w:hAnsi="Georgia" w:cs="Times New Roman"/>
            <w:i/>
            <w:iCs/>
            <w:color w:val="000000" w:themeColor="text1"/>
          </w:rPr>
          <w:t>Id.</w:t>
        </w:r>
        <w:r w:rsidRPr="00883454">
          <w:rPr>
            <w:rFonts w:ascii="Georgia" w:hAnsi="Georgia" w:cs="Times New Roman"/>
            <w:color w:val="000000" w:themeColor="text1"/>
          </w:rPr>
          <w:t xml:space="preserve"> at 99–100</w:t>
        </w:r>
      </w:hyperlink>
      <w:r w:rsidRPr="00883454">
        <w:rPr>
          <w:rFonts w:ascii="Georgia" w:hAnsi="Georgia" w:cs="Times New Roman"/>
          <w:color w:val="000000" w:themeColor="text1"/>
        </w:rPr>
        <w:t xml:space="preserve">. The Court held that the book’s expression of the book-keeping system was protected, but the system of book-keeping itself was not entitled to copyright protection. </w:t>
      </w:r>
      <w:hyperlink r:id="rId29" w:anchor="co_pp_sp_780_102" w:history="1">
        <w:r w:rsidRPr="00883454">
          <w:rPr>
            <w:rFonts w:ascii="Georgia" w:hAnsi="Georgia" w:cs="Times New Roman"/>
            <w:i/>
            <w:iCs/>
            <w:color w:val="000000" w:themeColor="text1"/>
          </w:rPr>
          <w:t>Id.</w:t>
        </w:r>
        <w:r w:rsidRPr="00883454">
          <w:rPr>
            <w:rFonts w:ascii="Georgia" w:hAnsi="Georgia" w:cs="Times New Roman"/>
            <w:color w:val="000000" w:themeColor="text1"/>
          </w:rPr>
          <w:t xml:space="preserve"> at 102</w:t>
        </w:r>
      </w:hyperlink>
      <w:r w:rsidRPr="00883454">
        <w:rPr>
          <w:rFonts w:ascii="Georgia" w:hAnsi="Georgia" w:cs="Times New Roman"/>
          <w:color w:val="000000" w:themeColor="text1"/>
        </w:rPr>
        <w:t>. The Court explained:</w:t>
      </w:r>
    </w:p>
    <w:p w:rsidR="00665CB9" w:rsidRPr="00883454" w:rsidRDefault="00665CB9" w:rsidP="00883454">
      <w:pPr>
        <w:widowControl w:val="0"/>
        <w:autoSpaceDE w:val="0"/>
        <w:autoSpaceDN w:val="0"/>
        <w:adjustRightInd w:val="0"/>
        <w:spacing w:before="250" w:after="50" w:line="240" w:lineRule="auto"/>
        <w:ind w:left="720" w:right="720"/>
        <w:jc w:val="both"/>
        <w:rPr>
          <w:rFonts w:ascii="Georgia" w:hAnsi="Georgia" w:cs="Times New Roman"/>
          <w:color w:val="000000" w:themeColor="text1"/>
        </w:rPr>
      </w:pPr>
      <w:r w:rsidRPr="00883454">
        <w:rPr>
          <w:rFonts w:ascii="Georgia" w:hAnsi="Georgia" w:cs="Times New Roman"/>
          <w:color w:val="000000" w:themeColor="text1"/>
        </w:rPr>
        <w:t>The description of the art in a book, though entitled to the benefit of copyright, lays no foundation for an exclusive claim to the art itself. The object of the one is explanation; the object of the other is use. The former may be secured by copyright. The latter can only be secured, if it can be secured at all, by letters-patent.</w:t>
      </w:r>
    </w:p>
    <w:p w:rsidR="00665CB9" w:rsidRPr="00883454" w:rsidRDefault="009E063F" w:rsidP="00883454">
      <w:pPr>
        <w:widowControl w:val="0"/>
        <w:autoSpaceDE w:val="0"/>
        <w:autoSpaceDN w:val="0"/>
        <w:adjustRightInd w:val="0"/>
        <w:spacing w:before="200" w:after="0" w:line="240" w:lineRule="auto"/>
        <w:jc w:val="both"/>
        <w:rPr>
          <w:rFonts w:ascii="Georgia" w:hAnsi="Georgia" w:cs="Times New Roman"/>
          <w:color w:val="000000" w:themeColor="text1"/>
        </w:rPr>
      </w:pPr>
      <w:hyperlink r:id="rId30" w:anchor="co_pp_sp_780_105" w:history="1">
        <w:r w:rsidR="00665CB9" w:rsidRPr="00883454">
          <w:rPr>
            <w:rFonts w:ascii="Georgia" w:hAnsi="Georgia" w:cs="Times New Roman"/>
            <w:i/>
            <w:iCs/>
            <w:color w:val="000000" w:themeColor="text1"/>
          </w:rPr>
          <w:t>Id.</w:t>
        </w:r>
        <w:r w:rsidR="00665CB9" w:rsidRPr="00883454">
          <w:rPr>
            <w:rFonts w:ascii="Georgia" w:hAnsi="Georgia" w:cs="Times New Roman"/>
            <w:color w:val="000000" w:themeColor="text1"/>
          </w:rPr>
          <w:t xml:space="preserve"> at 105</w:t>
        </w:r>
      </w:hyperlink>
      <w:r w:rsidR="00665CB9" w:rsidRPr="00883454">
        <w:rPr>
          <w:rFonts w:ascii="Georgia" w:hAnsi="Georgia" w:cs="Times New Roman"/>
          <w:color w:val="000000" w:themeColor="text1"/>
        </w:rPr>
        <w:t>.</w:t>
      </w:r>
    </w:p>
    <w:p w:rsidR="00665CB9" w:rsidRPr="00883454" w:rsidRDefault="00665CB9" w:rsidP="00883454">
      <w:pPr>
        <w:widowControl w:val="0"/>
        <w:autoSpaceDE w:val="0"/>
        <w:autoSpaceDN w:val="0"/>
        <w:adjustRightInd w:val="0"/>
        <w:spacing w:after="0" w:line="240" w:lineRule="auto"/>
        <w:ind w:firstLine="720"/>
        <w:jc w:val="both"/>
        <w:rPr>
          <w:rFonts w:ascii="Georgia" w:hAnsi="Georgia" w:cs="Times New Roman"/>
          <w:color w:val="000000" w:themeColor="text1"/>
        </w:rPr>
      </w:pPr>
      <w:r w:rsidRPr="00883454">
        <w:rPr>
          <w:rFonts w:ascii="Georgia" w:hAnsi="Georgia" w:cs="Times New Roman"/>
          <w:color w:val="000000" w:themeColor="text1"/>
        </w:rPr>
        <w:t> </w:t>
      </w:r>
    </w:p>
    <w:p w:rsidR="00665CB9" w:rsidRPr="00883454" w:rsidRDefault="00665CB9" w:rsidP="00883454">
      <w:pPr>
        <w:widowControl w:val="0"/>
        <w:autoSpaceDE w:val="0"/>
        <w:autoSpaceDN w:val="0"/>
        <w:adjustRightInd w:val="0"/>
        <w:spacing w:after="0" w:line="240" w:lineRule="auto"/>
        <w:ind w:firstLine="720"/>
        <w:jc w:val="both"/>
        <w:rPr>
          <w:rFonts w:ascii="Georgia" w:hAnsi="Georgia" w:cs="Times New Roman"/>
          <w:color w:val="000000" w:themeColor="text1"/>
        </w:rPr>
      </w:pPr>
      <w:r w:rsidRPr="00883454">
        <w:rPr>
          <w:rFonts w:ascii="Georgia" w:hAnsi="Georgia" w:cs="Times New Roman"/>
          <w:color w:val="000000" w:themeColor="text1"/>
        </w:rPr>
        <w:t xml:space="preserve">Following </w:t>
      </w:r>
      <w:r w:rsidRPr="00883454">
        <w:rPr>
          <w:rFonts w:ascii="Georgia" w:hAnsi="Georgia" w:cs="Times New Roman"/>
          <w:i/>
          <w:iCs/>
          <w:color w:val="000000" w:themeColor="text1"/>
        </w:rPr>
        <w:t>Baker,</w:t>
      </w:r>
      <w:r w:rsidRPr="00883454">
        <w:rPr>
          <w:rFonts w:ascii="Georgia" w:hAnsi="Georgia" w:cs="Times New Roman"/>
          <w:color w:val="000000" w:themeColor="text1"/>
        </w:rPr>
        <w:t xml:space="preserve"> and recognizing this vital distinction between ideas and expression, courts have routinely held that the </w:t>
      </w:r>
      <w:bookmarkStart w:id="16" w:name="co_pp_sp_506_1038_1"/>
      <w:bookmarkEnd w:id="16"/>
      <w:r w:rsidRPr="00883454">
        <w:rPr>
          <w:rFonts w:ascii="Georgia" w:hAnsi="Georgia" w:cs="Times New Roman"/>
          <w:color w:val="000000" w:themeColor="text1"/>
        </w:rPr>
        <w:t xml:space="preserve">copyright for a work describing how </w:t>
      </w:r>
      <w:r w:rsidRPr="00883454">
        <w:rPr>
          <w:rFonts w:ascii="Georgia" w:hAnsi="Georgia" w:cs="Times New Roman"/>
          <w:color w:val="000000" w:themeColor="text1"/>
        </w:rPr>
        <w:lastRenderedPageBreak/>
        <w:t xml:space="preserve">to perform a process does not extend to the process itself. In </w:t>
      </w:r>
      <w:hyperlink r:id="rId31" w:history="1">
        <w:r w:rsidRPr="00883454">
          <w:rPr>
            <w:rFonts w:ascii="Georgia" w:hAnsi="Georgia" w:cs="Times New Roman"/>
            <w:i/>
            <w:iCs/>
            <w:color w:val="000000" w:themeColor="text1"/>
          </w:rPr>
          <w:t>Palmer v. Braun,</w:t>
        </w:r>
        <w:r w:rsidRPr="00883454">
          <w:rPr>
            <w:rFonts w:ascii="Georgia" w:hAnsi="Georgia" w:cs="Times New Roman"/>
            <w:color w:val="000000" w:themeColor="text1"/>
          </w:rPr>
          <w:t xml:space="preserve"> 287 F.3d 1325 (11th Cir.2002)</w:t>
        </w:r>
      </w:hyperlink>
      <w:r w:rsidRPr="00883454">
        <w:rPr>
          <w:rFonts w:ascii="Georgia" w:hAnsi="Georgia" w:cs="Times New Roman"/>
          <w:color w:val="000000" w:themeColor="text1"/>
        </w:rPr>
        <w:t xml:space="preserve">, for example, the Eleventh Circuit held that meditation exercises described in a copyrighted manual on exploring the consciousness were “a process” unentitled to copyright protection. </w:t>
      </w:r>
      <w:hyperlink r:id="rId32" w:anchor="co_pp_sp_506_1334" w:history="1">
        <w:r w:rsidRPr="00883454">
          <w:rPr>
            <w:rFonts w:ascii="Georgia" w:hAnsi="Georgia" w:cs="Times New Roman"/>
            <w:i/>
            <w:iCs/>
            <w:color w:val="000000" w:themeColor="text1"/>
          </w:rPr>
          <w:t>Id.</w:t>
        </w:r>
        <w:r w:rsidRPr="00883454">
          <w:rPr>
            <w:rFonts w:ascii="Georgia" w:hAnsi="Georgia" w:cs="Times New Roman"/>
            <w:color w:val="000000" w:themeColor="text1"/>
          </w:rPr>
          <w:t xml:space="preserve"> at 1334</w:t>
        </w:r>
      </w:hyperlink>
      <w:r w:rsidRPr="00883454">
        <w:rPr>
          <w:rFonts w:ascii="Georgia" w:hAnsi="Georgia" w:cs="Times New Roman"/>
          <w:color w:val="000000" w:themeColor="text1"/>
        </w:rPr>
        <w:t>. The court explained that the “exercises, while undoubtedly the product of much time and effort, are, at bottom, simply a process for achieving increased consciousness. Such processes, even if original, cannot be protected by copyright.”</w:t>
      </w:r>
      <w:bookmarkStart w:id="17" w:name="co_footnoteReference_B00442037334947_ID0"/>
      <w:bookmarkEnd w:id="17"/>
      <w:r w:rsidRPr="00883454">
        <w:rPr>
          <w:rFonts w:ascii="Georgia" w:hAnsi="Georgia" w:cs="Times New Roman"/>
          <w:color w:val="000000" w:themeColor="text1"/>
        </w:rPr>
        <w:t xml:space="preserve"> </w:t>
      </w:r>
      <w:r w:rsidRPr="00883454">
        <w:rPr>
          <w:rFonts w:ascii="Georgia" w:hAnsi="Georgia" w:cs="Times New Roman"/>
          <w:i/>
          <w:iCs/>
          <w:color w:val="000000" w:themeColor="text1"/>
        </w:rPr>
        <w:t>Id.</w:t>
      </w:r>
      <w:r w:rsidRPr="00883454">
        <w:rPr>
          <w:rFonts w:ascii="Georgia" w:hAnsi="Georgia" w:cs="Times New Roman"/>
          <w:color w:val="000000" w:themeColor="text1"/>
        </w:rPr>
        <w:t xml:space="preserve"> Similarly, in </w:t>
      </w:r>
      <w:hyperlink r:id="rId33" w:history="1">
        <w:r w:rsidRPr="00883454">
          <w:rPr>
            <w:rFonts w:ascii="Georgia" w:hAnsi="Georgia" w:cs="Times New Roman"/>
            <w:i/>
            <w:iCs/>
            <w:color w:val="000000" w:themeColor="text1"/>
          </w:rPr>
          <w:t>Publications International, Ltd. v. Meredith Corp.,</w:t>
        </w:r>
        <w:r w:rsidRPr="00883454">
          <w:rPr>
            <w:rFonts w:ascii="Georgia" w:hAnsi="Georgia" w:cs="Times New Roman"/>
            <w:color w:val="000000" w:themeColor="text1"/>
          </w:rPr>
          <w:t xml:space="preserve"> 88 F.3d 473 (7th Cir.1996)</w:t>
        </w:r>
      </w:hyperlink>
      <w:r w:rsidRPr="00883454">
        <w:rPr>
          <w:rFonts w:ascii="Georgia" w:hAnsi="Georgia" w:cs="Times New Roman"/>
          <w:color w:val="000000" w:themeColor="text1"/>
        </w:rPr>
        <w:t xml:space="preserve">, the Seventh Circuit held that recipes contained in a copyrighted cookbook are not entitled to copyright protection, for they merely “describe a procedure by which the reader may produce many dishes,” and “there can be no monopoly in the copyright sense in the ideas for producing certain foodstuffs.” </w:t>
      </w:r>
      <w:hyperlink r:id="rId34" w:anchor="co_pp_sp_506_481" w:history="1">
        <w:r w:rsidRPr="00883454">
          <w:rPr>
            <w:rFonts w:ascii="Georgia" w:hAnsi="Georgia" w:cs="Times New Roman"/>
            <w:i/>
            <w:iCs/>
            <w:color w:val="000000" w:themeColor="text1"/>
          </w:rPr>
          <w:t>Id.</w:t>
        </w:r>
        <w:r w:rsidRPr="00883454">
          <w:rPr>
            <w:rFonts w:ascii="Georgia" w:hAnsi="Georgia" w:cs="Times New Roman"/>
            <w:color w:val="000000" w:themeColor="text1"/>
          </w:rPr>
          <w:t xml:space="preserve"> at 481</w:t>
        </w:r>
      </w:hyperlink>
      <w:r w:rsidRPr="00883454">
        <w:rPr>
          <w:rFonts w:ascii="Georgia" w:hAnsi="Georgia" w:cs="Times New Roman"/>
          <w:color w:val="000000" w:themeColor="text1"/>
        </w:rPr>
        <w:t xml:space="preserve">. Finally, in </w:t>
      </w:r>
      <w:hyperlink r:id="rId35" w:history="1">
        <w:r w:rsidRPr="00883454">
          <w:rPr>
            <w:rFonts w:ascii="Georgia" w:hAnsi="Georgia" w:cs="Times New Roman"/>
            <w:i/>
            <w:iCs/>
            <w:color w:val="000000" w:themeColor="text1"/>
          </w:rPr>
          <w:t xml:space="preserve">Seltzer v. </w:t>
        </w:r>
        <w:proofErr w:type="spellStart"/>
        <w:r w:rsidRPr="00883454">
          <w:rPr>
            <w:rFonts w:ascii="Georgia" w:hAnsi="Georgia" w:cs="Times New Roman"/>
            <w:i/>
            <w:iCs/>
            <w:color w:val="000000" w:themeColor="text1"/>
          </w:rPr>
          <w:t>Sunbrock</w:t>
        </w:r>
        <w:proofErr w:type="spellEnd"/>
        <w:r w:rsidRPr="00883454">
          <w:rPr>
            <w:rFonts w:ascii="Georgia" w:hAnsi="Georgia" w:cs="Times New Roman"/>
            <w:i/>
            <w:iCs/>
            <w:color w:val="000000" w:themeColor="text1"/>
          </w:rPr>
          <w:t>,</w:t>
        </w:r>
        <w:r w:rsidRPr="00883454">
          <w:rPr>
            <w:rFonts w:ascii="Georgia" w:hAnsi="Georgia" w:cs="Times New Roman"/>
            <w:color w:val="000000" w:themeColor="text1"/>
          </w:rPr>
          <w:t xml:space="preserve"> 22 </w:t>
        </w:r>
        <w:proofErr w:type="spellStart"/>
        <w:r w:rsidRPr="00883454">
          <w:rPr>
            <w:rFonts w:ascii="Georgia" w:hAnsi="Georgia" w:cs="Times New Roman"/>
            <w:color w:val="000000" w:themeColor="text1"/>
          </w:rPr>
          <w:t>F.Supp</w:t>
        </w:r>
        <w:proofErr w:type="spellEnd"/>
        <w:r w:rsidRPr="00883454">
          <w:rPr>
            <w:rFonts w:ascii="Georgia" w:hAnsi="Georgia" w:cs="Times New Roman"/>
            <w:color w:val="000000" w:themeColor="text1"/>
          </w:rPr>
          <w:t>. 621 (S.D.Cal.1938)</w:t>
        </w:r>
      </w:hyperlink>
      <w:r w:rsidRPr="00883454">
        <w:rPr>
          <w:rFonts w:ascii="Georgia" w:hAnsi="Georgia" w:cs="Times New Roman"/>
          <w:color w:val="000000" w:themeColor="text1"/>
        </w:rPr>
        <w:t xml:space="preserve">, which predates the Copyright Act of 1976 but applies </w:t>
      </w:r>
      <w:r w:rsidRPr="00883454">
        <w:rPr>
          <w:rFonts w:ascii="Georgia" w:hAnsi="Georgia" w:cs="Times New Roman"/>
          <w:i/>
          <w:iCs/>
          <w:color w:val="000000" w:themeColor="text1"/>
        </w:rPr>
        <w:t>Baker,</w:t>
      </w:r>
      <w:r w:rsidRPr="00883454">
        <w:rPr>
          <w:rFonts w:ascii="Georgia" w:hAnsi="Georgia" w:cs="Times New Roman"/>
          <w:color w:val="000000" w:themeColor="text1"/>
        </w:rPr>
        <w:t xml:space="preserve"> the court held that the copyright in a manual describing how to organize roller-skating races does not extend to the rules for the races themselves. </w:t>
      </w:r>
      <w:hyperlink r:id="rId36" w:anchor="co_pp_sp_345_630" w:history="1">
        <w:r w:rsidRPr="00883454">
          <w:rPr>
            <w:rFonts w:ascii="Georgia" w:hAnsi="Georgia" w:cs="Times New Roman"/>
            <w:i/>
            <w:iCs/>
            <w:color w:val="000000" w:themeColor="text1"/>
          </w:rPr>
          <w:t>Id.</w:t>
        </w:r>
        <w:r w:rsidRPr="00883454">
          <w:rPr>
            <w:rFonts w:ascii="Georgia" w:hAnsi="Georgia" w:cs="Times New Roman"/>
            <w:color w:val="000000" w:themeColor="text1"/>
          </w:rPr>
          <w:t xml:space="preserve"> at 630</w:t>
        </w:r>
      </w:hyperlink>
      <w:r w:rsidRPr="00883454">
        <w:rPr>
          <w:rFonts w:ascii="Georgia" w:hAnsi="Georgia" w:cs="Times New Roman"/>
          <w:color w:val="000000" w:themeColor="text1"/>
        </w:rPr>
        <w:t xml:space="preserve">. The court explained, “[w]hat [the author] really composed was a description of a system for conducting races on roller skates. A system, as such, can never be copyrighted. If it finds any protection, it must come from the patent laws.” </w:t>
      </w:r>
      <w:r w:rsidRPr="00883454">
        <w:rPr>
          <w:rFonts w:ascii="Georgia" w:hAnsi="Georgia" w:cs="Times New Roman"/>
          <w:i/>
          <w:iCs/>
          <w:color w:val="000000" w:themeColor="text1"/>
        </w:rPr>
        <w:t>Id.</w:t>
      </w:r>
      <w:r w:rsidRPr="00883454">
        <w:rPr>
          <w:rFonts w:ascii="Georgia" w:hAnsi="Georgia" w:cs="Times New Roman"/>
          <w:color w:val="000000" w:themeColor="text1"/>
        </w:rPr>
        <w:t xml:space="preserve"> (citing </w:t>
      </w:r>
      <w:hyperlink r:id="rId37" w:history="1">
        <w:r w:rsidRPr="00883454">
          <w:rPr>
            <w:rFonts w:ascii="Georgia" w:hAnsi="Georgia" w:cs="Times New Roman"/>
            <w:i/>
            <w:iCs/>
            <w:color w:val="000000" w:themeColor="text1"/>
          </w:rPr>
          <w:t>Baker,</w:t>
        </w:r>
        <w:r w:rsidRPr="00883454">
          <w:rPr>
            <w:rFonts w:ascii="Georgia" w:hAnsi="Georgia" w:cs="Times New Roman"/>
            <w:color w:val="000000" w:themeColor="text1"/>
          </w:rPr>
          <w:t xml:space="preserve"> 101 U.S. 99</w:t>
        </w:r>
      </w:hyperlink>
      <w:r w:rsidRPr="00883454">
        <w:rPr>
          <w:rFonts w:ascii="Georgia" w:hAnsi="Georgia" w:cs="Times New Roman"/>
          <w:color w:val="000000" w:themeColor="text1"/>
        </w:rPr>
        <w:t>).</w:t>
      </w:r>
    </w:p>
    <w:p w:rsidR="00665CB9" w:rsidRPr="00883454" w:rsidRDefault="00665CB9" w:rsidP="00883454">
      <w:pPr>
        <w:widowControl w:val="0"/>
        <w:autoSpaceDE w:val="0"/>
        <w:autoSpaceDN w:val="0"/>
        <w:adjustRightInd w:val="0"/>
        <w:spacing w:after="0" w:line="240" w:lineRule="auto"/>
        <w:ind w:firstLine="720"/>
        <w:jc w:val="both"/>
        <w:rPr>
          <w:rFonts w:ascii="Georgia" w:hAnsi="Georgia" w:cs="Times New Roman"/>
          <w:color w:val="000000" w:themeColor="text1"/>
        </w:rPr>
      </w:pPr>
      <w:r w:rsidRPr="00883454">
        <w:rPr>
          <w:rFonts w:ascii="Georgia" w:hAnsi="Georgia" w:cs="Times New Roman"/>
          <w:color w:val="000000" w:themeColor="text1"/>
        </w:rPr>
        <w:t> </w:t>
      </w:r>
    </w:p>
    <w:p w:rsidR="00665CB9" w:rsidRPr="00883454" w:rsidRDefault="00665CB9" w:rsidP="00883454">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18" w:name="co_footnote_B00442037334947_1"/>
      <w:bookmarkEnd w:id="18"/>
      <w:r w:rsidRPr="00883454">
        <w:rPr>
          <w:rFonts w:ascii="Georgia" w:hAnsi="Georgia" w:cs="Times New Roman"/>
          <w:color w:val="000000" w:themeColor="text1"/>
        </w:rPr>
        <w:t>Here, we must similarly determine not the validity of a copyright but rather its scope.</w:t>
      </w:r>
      <w:bookmarkStart w:id="19" w:name="co_footnoteReference_B00552037334947_ID0"/>
      <w:bookmarkEnd w:id="19"/>
      <w:r w:rsidR="00106987" w:rsidRPr="00883454">
        <w:rPr>
          <w:rStyle w:val="FootnoteReference"/>
          <w:rFonts w:ascii="Georgia" w:hAnsi="Georgia" w:cs="Times New Roman"/>
          <w:color w:val="000000" w:themeColor="text1"/>
        </w:rPr>
        <w:footnoteReference w:customMarkFollows="1" w:id="2"/>
        <w:t>5</w:t>
      </w:r>
      <w:hyperlink w:anchor="co_footnote_B00552037334947_1" w:history="1">
        <w:r w:rsidRPr="00883454">
          <w:rPr>
            <w:rFonts w:ascii="Georgia" w:hAnsi="Georgia" w:cs="Times New Roman"/>
            <w:color w:val="000000" w:themeColor="text1"/>
            <w:vertAlign w:val="superscript"/>
          </w:rPr>
          <w:t>5</w:t>
        </w:r>
      </w:hyperlink>
      <w:r w:rsidRPr="00883454">
        <w:rPr>
          <w:rFonts w:ascii="Georgia" w:hAnsi="Georgia" w:cs="Times New Roman"/>
          <w:color w:val="000000" w:themeColor="text1"/>
        </w:rPr>
        <w:t xml:space="preserve"> Does Choudhury’s copyright protection for his 1979 book extend to the Sequence itself? Under the fundamental tenets of copyright law and consistent with the precedents discussed above, the answer is no.</w:t>
      </w:r>
    </w:p>
    <w:p w:rsidR="00665CB9" w:rsidRPr="00883454" w:rsidRDefault="00665CB9" w:rsidP="00883454">
      <w:pPr>
        <w:widowControl w:val="0"/>
        <w:autoSpaceDE w:val="0"/>
        <w:autoSpaceDN w:val="0"/>
        <w:adjustRightInd w:val="0"/>
        <w:spacing w:after="0" w:line="240" w:lineRule="auto"/>
        <w:ind w:firstLine="720"/>
        <w:jc w:val="both"/>
        <w:rPr>
          <w:rFonts w:ascii="Georgia" w:hAnsi="Georgia" w:cs="Times New Roman"/>
          <w:color w:val="000000" w:themeColor="text1"/>
        </w:rPr>
      </w:pPr>
      <w:r w:rsidRPr="00883454">
        <w:rPr>
          <w:rFonts w:ascii="Georgia" w:hAnsi="Georgia" w:cs="Times New Roman"/>
          <w:color w:val="000000" w:themeColor="text1"/>
        </w:rPr>
        <w:t> </w:t>
      </w:r>
    </w:p>
    <w:p w:rsidR="00665CB9" w:rsidRPr="00883454" w:rsidRDefault="00665CB9" w:rsidP="00883454">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20" w:name="co_footnote_B00552037334947_1"/>
      <w:bookmarkEnd w:id="20"/>
      <w:r w:rsidRPr="00883454">
        <w:rPr>
          <w:rFonts w:ascii="Georgia" w:hAnsi="Georgia" w:cs="Times New Roman"/>
          <w:color w:val="000000" w:themeColor="text1"/>
        </w:rPr>
        <w:t xml:space="preserve">As Choudhury describes it, the Sequence is a “system” or a “method” designed to “systematically work every part of the body, to give all internal organs, all the veins, all the ligaments, and all the muscles everything they need to maintain optimum health and maximum function.” In </w:t>
      </w:r>
      <w:r w:rsidRPr="00883454">
        <w:rPr>
          <w:rFonts w:ascii="Georgia" w:hAnsi="Georgia" w:cs="Times New Roman"/>
          <w:i/>
          <w:iCs/>
          <w:color w:val="000000" w:themeColor="text1"/>
        </w:rPr>
        <w:t>Bikram’s Beginning Yoga Class,</w:t>
      </w:r>
      <w:r w:rsidRPr="00883454">
        <w:rPr>
          <w:rFonts w:ascii="Georgia" w:hAnsi="Georgia" w:cs="Times New Roman"/>
          <w:color w:val="000000" w:themeColor="text1"/>
        </w:rPr>
        <w:t xml:space="preserve"> Choudhury explains that he “arrived at the sequence of postures” after “[researching] the diseases and the postures and after many years of research and verification ... using modern medical measurement techniques.” The book tells readers that “Bikram’s twenty-six exercises systematically move fresh, oxygenated blood to one hundred percent of your body, to each organ and fiber, restoring all systems to healthy working order, just as Nature intended.” Bonnie Jones Reynolds, </w:t>
      </w:r>
      <w:r w:rsidRPr="00883454">
        <w:rPr>
          <w:rFonts w:ascii="Georgia" w:hAnsi="Georgia" w:cs="Times New Roman"/>
          <w:i/>
          <w:iCs/>
          <w:color w:val="000000" w:themeColor="text1"/>
        </w:rPr>
        <w:t>Introduction</w:t>
      </w:r>
      <w:r w:rsidRPr="00883454">
        <w:rPr>
          <w:rFonts w:ascii="Georgia" w:hAnsi="Georgia" w:cs="Times New Roman"/>
          <w:color w:val="000000" w:themeColor="text1"/>
        </w:rPr>
        <w:t xml:space="preserve"> to </w:t>
      </w:r>
      <w:r w:rsidRPr="00883454">
        <w:rPr>
          <w:rFonts w:ascii="Georgia" w:hAnsi="Georgia" w:cs="Times New Roman"/>
          <w:i/>
          <w:iCs/>
          <w:color w:val="000000" w:themeColor="text1"/>
        </w:rPr>
        <w:t xml:space="preserve">Bikram’s Beginning Yoga </w:t>
      </w:r>
      <w:bookmarkStart w:id="21" w:name="co_pp_sp_506_1039_1"/>
      <w:bookmarkEnd w:id="21"/>
      <w:r w:rsidRPr="00883454">
        <w:rPr>
          <w:rFonts w:ascii="Georgia" w:hAnsi="Georgia" w:cs="Times New Roman"/>
          <w:i/>
          <w:iCs/>
          <w:color w:val="000000" w:themeColor="text1"/>
        </w:rPr>
        <w:t>Class,</w:t>
      </w:r>
      <w:r w:rsidRPr="00883454">
        <w:rPr>
          <w:rFonts w:ascii="Georgia" w:hAnsi="Georgia" w:cs="Times New Roman"/>
          <w:color w:val="000000" w:themeColor="text1"/>
        </w:rPr>
        <w:t xml:space="preserve"> at xi (1979). This text </w:t>
      </w:r>
      <w:r w:rsidRPr="00883454">
        <w:rPr>
          <w:rFonts w:ascii="Georgia" w:hAnsi="Georgia" w:cs="Times New Roman"/>
          <w:color w:val="000000" w:themeColor="text1"/>
        </w:rPr>
        <w:lastRenderedPageBreak/>
        <w:t>promises readers that Choudhury’s “system of Hatha Yoga is capable of helping you avoid, correct, cure, heal, or at least alleviate the symptoms of almost any illness or injury.”</w:t>
      </w:r>
    </w:p>
    <w:p w:rsidR="00665CB9" w:rsidRPr="00883454" w:rsidRDefault="00665CB9" w:rsidP="00883454">
      <w:pPr>
        <w:widowControl w:val="0"/>
        <w:autoSpaceDE w:val="0"/>
        <w:autoSpaceDN w:val="0"/>
        <w:adjustRightInd w:val="0"/>
        <w:spacing w:after="0" w:line="240" w:lineRule="auto"/>
        <w:ind w:firstLine="720"/>
        <w:jc w:val="both"/>
        <w:rPr>
          <w:rFonts w:ascii="Georgia" w:hAnsi="Georgia" w:cs="Times New Roman"/>
          <w:color w:val="000000" w:themeColor="text1"/>
        </w:rPr>
      </w:pPr>
      <w:r w:rsidRPr="00883454">
        <w:rPr>
          <w:rFonts w:ascii="Georgia" w:hAnsi="Georgia" w:cs="Times New Roman"/>
          <w:color w:val="000000" w:themeColor="text1"/>
        </w:rPr>
        <w:t> </w:t>
      </w:r>
    </w:p>
    <w:p w:rsidR="00665CB9" w:rsidRPr="00883454" w:rsidRDefault="00665CB9" w:rsidP="00883454">
      <w:pPr>
        <w:widowControl w:val="0"/>
        <w:autoSpaceDE w:val="0"/>
        <w:autoSpaceDN w:val="0"/>
        <w:adjustRightInd w:val="0"/>
        <w:spacing w:after="0" w:line="240" w:lineRule="auto"/>
        <w:ind w:firstLine="720"/>
        <w:jc w:val="both"/>
        <w:rPr>
          <w:rFonts w:ascii="Georgia" w:hAnsi="Georgia" w:cs="Times New Roman"/>
          <w:color w:val="000000" w:themeColor="text1"/>
        </w:rPr>
      </w:pPr>
      <w:r w:rsidRPr="00883454">
        <w:rPr>
          <w:rFonts w:ascii="Georgia" w:hAnsi="Georgia" w:cs="Times New Roman"/>
          <w:color w:val="000000" w:themeColor="text1"/>
        </w:rPr>
        <w:t>Also illuminating is Choudhury’s spoken Dialogue, which accompanies the Sequence. Before the Sequence’s first breathing exercise, for example, the instructor tells students, “[The exercise] is good for the lungs and respiratory system. This exercise expands your lungs to their maximum expansion capacity. And it improves the elasticity of your lungs.” Before the twelfth pose, the instructor explains:</w:t>
      </w:r>
    </w:p>
    <w:p w:rsidR="00665CB9" w:rsidRPr="00883454" w:rsidRDefault="00665CB9" w:rsidP="00883454">
      <w:pPr>
        <w:widowControl w:val="0"/>
        <w:autoSpaceDE w:val="0"/>
        <w:autoSpaceDN w:val="0"/>
        <w:adjustRightInd w:val="0"/>
        <w:spacing w:before="250" w:after="50" w:line="240" w:lineRule="auto"/>
        <w:ind w:left="720" w:right="720"/>
        <w:jc w:val="both"/>
        <w:rPr>
          <w:rFonts w:ascii="Georgia" w:hAnsi="Georgia" w:cs="Times New Roman"/>
          <w:color w:val="000000" w:themeColor="text1"/>
        </w:rPr>
      </w:pPr>
      <w:r w:rsidRPr="00883454">
        <w:rPr>
          <w:rFonts w:ascii="Georgia" w:hAnsi="Georgia" w:cs="Times New Roman"/>
          <w:color w:val="000000" w:themeColor="text1"/>
        </w:rPr>
        <w:t xml:space="preserve">Every exercise in the world you do, you burn energy/calories like driving a car burns gas. The tank is empty, you need to fill it up again. Hatha Yoga class is a gas station, it is the only place in the world where you gain energy instead of burning energy. Asana is the only </w:t>
      </w:r>
      <w:r w:rsidRPr="00883454">
        <w:rPr>
          <w:rFonts w:ascii="Georgia" w:hAnsi="Georgia" w:cs="Times New Roman"/>
          <w:i/>
          <w:iCs/>
          <w:color w:val="000000" w:themeColor="text1"/>
        </w:rPr>
        <w:t>natural</w:t>
      </w:r>
      <w:r w:rsidRPr="00883454">
        <w:rPr>
          <w:rFonts w:ascii="Georgia" w:hAnsi="Georgia" w:cs="Times New Roman"/>
          <w:color w:val="000000" w:themeColor="text1"/>
        </w:rPr>
        <w:t xml:space="preserve"> physical activity in the world because it is scientific [and] with the help of science, we can explain nature.</w:t>
      </w:r>
    </w:p>
    <w:p w:rsidR="00665CB9" w:rsidRPr="00883454" w:rsidRDefault="00665CB9" w:rsidP="00883454">
      <w:pPr>
        <w:widowControl w:val="0"/>
        <w:autoSpaceDE w:val="0"/>
        <w:autoSpaceDN w:val="0"/>
        <w:adjustRightInd w:val="0"/>
        <w:spacing w:after="0" w:line="240" w:lineRule="auto"/>
        <w:ind w:firstLine="720"/>
        <w:jc w:val="both"/>
        <w:rPr>
          <w:rFonts w:ascii="Georgia" w:hAnsi="Georgia" w:cs="Times New Roman"/>
          <w:color w:val="000000" w:themeColor="text1"/>
        </w:rPr>
      </w:pPr>
      <w:r w:rsidRPr="00883454">
        <w:rPr>
          <w:rFonts w:ascii="Georgia" w:hAnsi="Georgia" w:cs="Times New Roman"/>
          <w:color w:val="000000" w:themeColor="text1"/>
        </w:rPr>
        <w:t> </w:t>
      </w:r>
    </w:p>
    <w:p w:rsidR="00665CB9" w:rsidRPr="00883454" w:rsidRDefault="00665CB9" w:rsidP="00883454">
      <w:pPr>
        <w:widowControl w:val="0"/>
        <w:autoSpaceDE w:val="0"/>
        <w:autoSpaceDN w:val="0"/>
        <w:adjustRightInd w:val="0"/>
        <w:spacing w:after="0" w:line="240" w:lineRule="auto"/>
        <w:ind w:firstLine="720"/>
        <w:jc w:val="both"/>
        <w:rPr>
          <w:rFonts w:ascii="Georgia" w:hAnsi="Georgia" w:cs="Times New Roman"/>
          <w:color w:val="000000" w:themeColor="text1"/>
        </w:rPr>
      </w:pPr>
      <w:r w:rsidRPr="00883454">
        <w:rPr>
          <w:rFonts w:ascii="Georgia" w:hAnsi="Georgia" w:cs="Times New Roman"/>
          <w:color w:val="000000" w:themeColor="text1"/>
        </w:rPr>
        <w:t xml:space="preserve">An essential element of this “system” is the order in which the yoga poses and breathing exercises are arranged. </w:t>
      </w:r>
      <w:r w:rsidRPr="00883454">
        <w:rPr>
          <w:rFonts w:ascii="Georgia" w:hAnsi="Georgia" w:cs="Times New Roman"/>
          <w:i/>
          <w:iCs/>
          <w:color w:val="000000" w:themeColor="text1"/>
        </w:rPr>
        <w:t>Bikram’s Beginning Yoga Class</w:t>
      </w:r>
      <w:r w:rsidRPr="00883454">
        <w:rPr>
          <w:rFonts w:ascii="Georgia" w:hAnsi="Georgia" w:cs="Times New Roman"/>
          <w:color w:val="000000" w:themeColor="text1"/>
        </w:rPr>
        <w:t xml:space="preserve"> instructs readers, “Do the poses in the strict order given in this book. Nothing about Bikram’s Beginning Yoga Class is haphazard. It is designed to scientifically warm and stretch muscles, ligaments, and tendons in the order in which they should be stretched.” </w:t>
      </w:r>
      <w:r w:rsidRPr="00883454">
        <w:rPr>
          <w:rFonts w:ascii="Georgia" w:hAnsi="Georgia" w:cs="Times New Roman"/>
          <w:i/>
          <w:iCs/>
          <w:color w:val="000000" w:themeColor="text1"/>
        </w:rPr>
        <w:t>Bikram’s Beginning Yoga Class, supra,</w:t>
      </w:r>
      <w:r w:rsidRPr="00883454">
        <w:rPr>
          <w:rFonts w:ascii="Georgia" w:hAnsi="Georgia" w:cs="Times New Roman"/>
          <w:color w:val="000000" w:themeColor="text1"/>
        </w:rPr>
        <w:t xml:space="preserve"> at xi. For instance, Choudhury explains, “Camel Pose (</w:t>
      </w:r>
      <w:proofErr w:type="spellStart"/>
      <w:r w:rsidRPr="00883454">
        <w:rPr>
          <w:rFonts w:ascii="Georgia" w:hAnsi="Georgia" w:cs="Times New Roman"/>
          <w:color w:val="000000" w:themeColor="text1"/>
        </w:rPr>
        <w:t>Ustrasana</w:t>
      </w:r>
      <w:proofErr w:type="spellEnd"/>
      <w:r w:rsidRPr="00883454">
        <w:rPr>
          <w:rFonts w:ascii="Georgia" w:hAnsi="Georgia" w:cs="Times New Roman"/>
          <w:color w:val="000000" w:themeColor="text1"/>
        </w:rPr>
        <w:t>) stretches the abdomen and compresses the spine; so for the next posture, I chose the Rabbit Pose (</w:t>
      </w:r>
      <w:proofErr w:type="spellStart"/>
      <w:r w:rsidRPr="00883454">
        <w:rPr>
          <w:rFonts w:ascii="Georgia" w:hAnsi="Georgia" w:cs="Times New Roman"/>
          <w:color w:val="000000" w:themeColor="text1"/>
        </w:rPr>
        <w:t>Sasangasana</w:t>
      </w:r>
      <w:proofErr w:type="spellEnd"/>
      <w:r w:rsidRPr="00883454">
        <w:rPr>
          <w:rFonts w:ascii="Georgia" w:hAnsi="Georgia" w:cs="Times New Roman"/>
          <w:color w:val="000000" w:themeColor="text1"/>
        </w:rPr>
        <w:t>), which does the converse: stretches the back and compresses the abdomen.”</w:t>
      </w:r>
      <w:bookmarkStart w:id="22" w:name="co_footnoteReference_B00662037334947_ID0"/>
      <w:bookmarkEnd w:id="22"/>
      <w:r w:rsidRPr="00883454">
        <w:rPr>
          <w:rFonts w:ascii="Georgia" w:hAnsi="Georgia" w:cs="Times New Roman"/>
          <w:color w:val="000000" w:themeColor="text1"/>
        </w:rPr>
        <w:t xml:space="preserve"> One </w:t>
      </w:r>
      <w:r w:rsidRPr="00883454">
        <w:rPr>
          <w:rFonts w:ascii="Georgia" w:hAnsi="Georgia" w:cs="Times New Roman"/>
          <w:i/>
          <w:iCs/>
          <w:color w:val="000000" w:themeColor="text1"/>
        </w:rPr>
        <w:t>Yoga Journal</w:t>
      </w:r>
      <w:r w:rsidRPr="00883454">
        <w:rPr>
          <w:rFonts w:ascii="Georgia" w:hAnsi="Georgia" w:cs="Times New Roman"/>
          <w:color w:val="000000" w:themeColor="text1"/>
        </w:rPr>
        <w:t xml:space="preserve"> article explains that “[a]</w:t>
      </w:r>
      <w:proofErr w:type="spellStart"/>
      <w:r w:rsidRPr="00883454">
        <w:rPr>
          <w:rFonts w:ascii="Georgia" w:hAnsi="Georgia" w:cs="Times New Roman"/>
          <w:color w:val="000000" w:themeColor="text1"/>
        </w:rPr>
        <w:t>ccording</w:t>
      </w:r>
      <w:proofErr w:type="spellEnd"/>
      <w:r w:rsidRPr="00883454">
        <w:rPr>
          <w:rFonts w:ascii="Georgia" w:hAnsi="Georgia" w:cs="Times New Roman"/>
          <w:color w:val="000000" w:themeColor="text1"/>
        </w:rPr>
        <w:t xml:space="preserve"> to Bikram, each posture in his series forms the perfect basis for the next, warming and stretching the appropriate muscles, ligaments and tendons.” Loraine </w:t>
      </w:r>
      <w:proofErr w:type="spellStart"/>
      <w:r w:rsidRPr="00883454">
        <w:rPr>
          <w:rFonts w:ascii="Georgia" w:hAnsi="Georgia" w:cs="Times New Roman"/>
          <w:color w:val="000000" w:themeColor="text1"/>
        </w:rPr>
        <w:t>Despres</w:t>
      </w:r>
      <w:proofErr w:type="spellEnd"/>
      <w:r w:rsidRPr="00883454">
        <w:rPr>
          <w:rFonts w:ascii="Georgia" w:hAnsi="Georgia" w:cs="Times New Roman"/>
          <w:color w:val="000000" w:themeColor="text1"/>
        </w:rPr>
        <w:t xml:space="preserve">, </w:t>
      </w:r>
      <w:r w:rsidRPr="00883454">
        <w:rPr>
          <w:rFonts w:ascii="Georgia" w:hAnsi="Georgia" w:cs="Times New Roman"/>
          <w:i/>
          <w:iCs/>
          <w:color w:val="000000" w:themeColor="text1"/>
        </w:rPr>
        <w:t>Yoga’s Bad Boy: Bikram Choudhury,</w:t>
      </w:r>
      <w:r w:rsidRPr="00883454">
        <w:rPr>
          <w:rFonts w:ascii="Georgia" w:hAnsi="Georgia" w:cs="Times New Roman"/>
          <w:color w:val="000000" w:themeColor="text1"/>
        </w:rPr>
        <w:t xml:space="preserve"> Yoga J., Aug. 28, 2007.</w:t>
      </w:r>
      <w:bookmarkStart w:id="23" w:name="co_footnoteReference_B00772037334947_ID0"/>
      <w:bookmarkEnd w:id="23"/>
      <w:r w:rsidR="00106987" w:rsidRPr="00883454">
        <w:rPr>
          <w:rFonts w:ascii="Georgia" w:hAnsi="Georgia" w:cs="Times New Roman"/>
          <w:color w:val="000000" w:themeColor="text1"/>
        </w:rPr>
        <w:t xml:space="preserve"> </w:t>
      </w:r>
    </w:p>
    <w:p w:rsidR="00665CB9" w:rsidRPr="00883454" w:rsidRDefault="00665CB9" w:rsidP="00883454">
      <w:pPr>
        <w:widowControl w:val="0"/>
        <w:autoSpaceDE w:val="0"/>
        <w:autoSpaceDN w:val="0"/>
        <w:adjustRightInd w:val="0"/>
        <w:spacing w:after="0" w:line="240" w:lineRule="auto"/>
        <w:ind w:firstLine="720"/>
        <w:jc w:val="both"/>
        <w:rPr>
          <w:rFonts w:ascii="Georgia" w:hAnsi="Georgia" w:cs="Times New Roman"/>
          <w:color w:val="000000" w:themeColor="text1"/>
        </w:rPr>
      </w:pPr>
      <w:r w:rsidRPr="00883454">
        <w:rPr>
          <w:rFonts w:ascii="Georgia" w:hAnsi="Georgia" w:cs="Times New Roman"/>
          <w:color w:val="000000" w:themeColor="text1"/>
        </w:rPr>
        <w:t> </w:t>
      </w:r>
    </w:p>
    <w:p w:rsidR="00665CB9" w:rsidRPr="00883454" w:rsidRDefault="00665CB9" w:rsidP="00883454">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24" w:name="co_footnote_B00662037334947_1"/>
      <w:bookmarkEnd w:id="24"/>
      <w:r w:rsidRPr="00883454">
        <w:rPr>
          <w:rFonts w:ascii="Georgia" w:hAnsi="Georgia" w:cs="Times New Roman"/>
          <w:color w:val="000000" w:themeColor="text1"/>
        </w:rPr>
        <w:t xml:space="preserve">Choudhury thus attempts to secure copyright protection for a healing art: a system designed to yield physical benefits and a sense of well-being. Simply put, this attempt is precluded by copyright’s idea/expression dichotomy, codified by </w:t>
      </w:r>
      <w:hyperlink r:id="rId38" w:anchor="co_pp_a83b000018c76" w:history="1">
        <w:r w:rsidRPr="00883454">
          <w:rPr>
            <w:rFonts w:ascii="Georgia" w:hAnsi="Georgia" w:cs="Times New Roman"/>
            <w:color w:val="000000" w:themeColor="text1"/>
          </w:rPr>
          <w:t>Section 102(b)</w:t>
        </w:r>
      </w:hyperlink>
      <w:r w:rsidRPr="00883454">
        <w:rPr>
          <w:rFonts w:ascii="Georgia" w:hAnsi="Georgia" w:cs="Times New Roman"/>
          <w:color w:val="000000" w:themeColor="text1"/>
        </w:rPr>
        <w:t xml:space="preserve">. As the Supreme Court explained in </w:t>
      </w:r>
      <w:r w:rsidRPr="00883454">
        <w:rPr>
          <w:rFonts w:ascii="Georgia" w:hAnsi="Georgia" w:cs="Times New Roman"/>
          <w:i/>
          <w:iCs/>
          <w:color w:val="000000" w:themeColor="text1"/>
        </w:rPr>
        <w:t>Baker,</w:t>
      </w:r>
      <w:r w:rsidRPr="00883454">
        <w:rPr>
          <w:rFonts w:ascii="Georgia" w:hAnsi="Georgia" w:cs="Times New Roman"/>
          <w:color w:val="000000" w:themeColor="text1"/>
        </w:rPr>
        <w:t xml:space="preserve"> “Certain mixtures are found to be of great value in the healing art. If the discoverer writes and publishes a book on the subject (as regular physicians generally do), he gains no exclusive right to the manufacture and sale of the medicine; he gives that to the public.” </w:t>
      </w:r>
      <w:hyperlink r:id="rId39" w:anchor="co_pp_sp_780_102" w:history="1">
        <w:r w:rsidRPr="00883454">
          <w:rPr>
            <w:rFonts w:ascii="Georgia" w:hAnsi="Georgia" w:cs="Times New Roman"/>
            <w:color w:val="000000" w:themeColor="text1"/>
          </w:rPr>
          <w:t>101 U.S. at 102–03</w:t>
        </w:r>
      </w:hyperlink>
      <w:r w:rsidRPr="00883454">
        <w:rPr>
          <w:rFonts w:ascii="Georgia" w:hAnsi="Georgia" w:cs="Times New Roman"/>
          <w:color w:val="000000" w:themeColor="text1"/>
        </w:rPr>
        <w:t xml:space="preserve">. Thus, for example, the copyright for a book describing how to perform a complicated surgery does not give the holder the exclusive right to perform the surgery. Like the series of movements a surgeon makes, the Sequence is, as Choudhury tells readers, a method designed to “cure, heal, or at least alleviate” physical injuries and illness. Monopoly protection for such a method “can only be secured, if it can be secured at all, by letters-patent.” </w:t>
      </w:r>
      <w:hyperlink r:id="rId40" w:anchor="co_pp_sp_780_105" w:history="1">
        <w:r w:rsidRPr="00883454">
          <w:rPr>
            <w:rFonts w:ascii="Georgia" w:hAnsi="Georgia" w:cs="Times New Roman"/>
            <w:i/>
            <w:iCs/>
            <w:color w:val="000000" w:themeColor="text1"/>
          </w:rPr>
          <w:t>Id.</w:t>
        </w:r>
        <w:r w:rsidRPr="00883454">
          <w:rPr>
            <w:rFonts w:ascii="Georgia" w:hAnsi="Georgia" w:cs="Times New Roman"/>
            <w:color w:val="000000" w:themeColor="text1"/>
          </w:rPr>
          <w:t xml:space="preserve"> at 105</w:t>
        </w:r>
      </w:hyperlink>
      <w:r w:rsidRPr="00883454">
        <w:rPr>
          <w:rFonts w:ascii="Georgia" w:hAnsi="Georgia" w:cs="Times New Roman"/>
          <w:color w:val="000000" w:themeColor="text1"/>
        </w:rPr>
        <w:t xml:space="preserve">; </w:t>
      </w:r>
      <w:r w:rsidRPr="00883454">
        <w:rPr>
          <w:rFonts w:ascii="Georgia" w:hAnsi="Georgia" w:cs="Times New Roman"/>
          <w:i/>
          <w:iCs/>
          <w:color w:val="000000" w:themeColor="text1"/>
        </w:rPr>
        <w:t xml:space="preserve">see </w:t>
      </w:r>
      <w:r w:rsidRPr="00883454">
        <w:rPr>
          <w:rFonts w:ascii="Georgia" w:hAnsi="Georgia" w:cs="Times New Roman"/>
          <w:i/>
          <w:iCs/>
          <w:color w:val="000000" w:themeColor="text1"/>
        </w:rPr>
        <w:lastRenderedPageBreak/>
        <w:t xml:space="preserve">also </w:t>
      </w:r>
      <w:hyperlink r:id="rId41" w:anchor="co_pp_sp_350_1526" w:history="1">
        <w:r w:rsidRPr="00883454">
          <w:rPr>
            <w:rFonts w:ascii="Georgia" w:hAnsi="Georgia" w:cs="Times New Roman"/>
            <w:i/>
            <w:iCs/>
            <w:color w:val="000000" w:themeColor="text1"/>
          </w:rPr>
          <w:t>Sega Enters. Ltd. v. Accolade, Inc.,</w:t>
        </w:r>
        <w:r w:rsidRPr="00883454">
          <w:rPr>
            <w:rFonts w:ascii="Georgia" w:hAnsi="Georgia" w:cs="Times New Roman"/>
            <w:color w:val="000000" w:themeColor="text1"/>
          </w:rPr>
          <w:t xml:space="preserve"> 977 F.2d 1510, 1526 (9th Cir.1992)</w:t>
        </w:r>
      </w:hyperlink>
      <w:r w:rsidRPr="00883454">
        <w:rPr>
          <w:rFonts w:ascii="Georgia" w:hAnsi="Georgia" w:cs="Times New Roman"/>
          <w:color w:val="000000" w:themeColor="text1"/>
        </w:rPr>
        <w:t xml:space="preserve">, </w:t>
      </w:r>
      <w:r w:rsidRPr="00883454">
        <w:rPr>
          <w:rFonts w:ascii="Georgia" w:hAnsi="Georgia" w:cs="Times New Roman"/>
          <w:i/>
          <w:iCs/>
          <w:color w:val="000000" w:themeColor="text1"/>
        </w:rPr>
        <w:t xml:space="preserve">as </w:t>
      </w:r>
      <w:bookmarkStart w:id="25" w:name="co_pp_sp_506_1040_1"/>
      <w:bookmarkEnd w:id="25"/>
      <w:r w:rsidRPr="00883454">
        <w:rPr>
          <w:rFonts w:ascii="Georgia" w:hAnsi="Georgia" w:cs="Times New Roman"/>
          <w:i/>
          <w:iCs/>
          <w:color w:val="000000" w:themeColor="text1"/>
        </w:rPr>
        <w:t>amended</w:t>
      </w:r>
      <w:r w:rsidRPr="00883454">
        <w:rPr>
          <w:rFonts w:ascii="Georgia" w:hAnsi="Georgia" w:cs="Times New Roman"/>
          <w:color w:val="000000" w:themeColor="text1"/>
        </w:rPr>
        <w:t xml:space="preserve"> (Jan. 6, 1993) (“In order to enjoy a lawful monopoly over the idea or functional principle underlying a work, the creator of the work must satisfy the more stringent standards imposed by the patent laws.”). In light of </w:t>
      </w:r>
      <w:r w:rsidRPr="00883454">
        <w:rPr>
          <w:rFonts w:ascii="Georgia" w:hAnsi="Georgia" w:cs="Times New Roman"/>
          <w:i/>
          <w:iCs/>
          <w:color w:val="000000" w:themeColor="text1"/>
        </w:rPr>
        <w:t>Baker</w:t>
      </w:r>
      <w:r w:rsidRPr="00883454">
        <w:rPr>
          <w:rFonts w:ascii="Georgia" w:hAnsi="Georgia" w:cs="Times New Roman"/>
          <w:color w:val="000000" w:themeColor="text1"/>
        </w:rPr>
        <w:t xml:space="preserve"> and its progeny, Choudhury’s healing methodology is not eligible for protection by copyright. Indeed, if it is entitled to protection at all, that protection is more properly sought through the patent process.</w:t>
      </w:r>
      <w:bookmarkStart w:id="26" w:name="co_footnoteReference_B00882037334947_ID0"/>
      <w:bookmarkEnd w:id="26"/>
      <w:r w:rsidR="00106987" w:rsidRPr="00883454">
        <w:rPr>
          <w:rStyle w:val="FootnoteReference"/>
          <w:rFonts w:ascii="Georgia" w:hAnsi="Georgia" w:cs="Times New Roman"/>
          <w:color w:val="000000" w:themeColor="text1"/>
        </w:rPr>
        <w:footnoteReference w:customMarkFollows="1" w:id="3"/>
        <w:t>8</w:t>
      </w:r>
      <w:hyperlink w:anchor="co_footnote_B00882037334947_1" w:history="1">
        <w:r w:rsidRPr="00883454">
          <w:rPr>
            <w:rFonts w:ascii="Georgia" w:hAnsi="Georgia" w:cs="Times New Roman"/>
            <w:color w:val="000000" w:themeColor="text1"/>
            <w:vertAlign w:val="superscript"/>
          </w:rPr>
          <w:t>8</w:t>
        </w:r>
      </w:hyperlink>
    </w:p>
    <w:p w:rsidR="00106987" w:rsidRPr="00883454" w:rsidRDefault="00106987" w:rsidP="00883454">
      <w:pPr>
        <w:widowControl w:val="0"/>
        <w:autoSpaceDE w:val="0"/>
        <w:autoSpaceDN w:val="0"/>
        <w:adjustRightInd w:val="0"/>
        <w:spacing w:after="0" w:line="240" w:lineRule="auto"/>
        <w:ind w:firstLine="720"/>
        <w:jc w:val="both"/>
        <w:rPr>
          <w:rFonts w:ascii="Georgia" w:hAnsi="Georgia" w:cs="Times New Roman"/>
          <w:color w:val="000000" w:themeColor="text1"/>
        </w:rPr>
      </w:pPr>
    </w:p>
    <w:p w:rsidR="00665CB9" w:rsidRPr="00883454" w:rsidRDefault="00665CB9" w:rsidP="00883454">
      <w:pPr>
        <w:widowControl w:val="0"/>
        <w:autoSpaceDE w:val="0"/>
        <w:autoSpaceDN w:val="0"/>
        <w:adjustRightInd w:val="0"/>
        <w:spacing w:after="0" w:line="240" w:lineRule="auto"/>
        <w:ind w:firstLine="720"/>
        <w:jc w:val="both"/>
        <w:rPr>
          <w:rFonts w:ascii="Georgia" w:hAnsi="Georgia" w:cs="Times New Roman"/>
          <w:color w:val="000000" w:themeColor="text1"/>
        </w:rPr>
      </w:pPr>
      <w:r w:rsidRPr="00883454">
        <w:rPr>
          <w:rFonts w:ascii="Georgia" w:hAnsi="Georgia" w:cs="Times New Roman"/>
          <w:color w:val="000000" w:themeColor="text1"/>
        </w:rPr>
        <w:t xml:space="preserve">That the Sequence may produce spiritual and psychological benefits makes it no less an idea, system, or process and no more amenable to copyright protection. Choudhury’s personal declaration explains that the Sequence offers “spiritual benefits” to his students and “lead[s] to a general sense of peace and well-being that is undoubtedly of benefit to all of us.” Like the meditation exercises designed to achieve greater consciousness in </w:t>
      </w:r>
      <w:hyperlink r:id="rId42" w:anchor="co_pp_sp_506_1334" w:history="1">
        <w:r w:rsidRPr="00883454">
          <w:rPr>
            <w:rFonts w:ascii="Georgia" w:hAnsi="Georgia" w:cs="Times New Roman"/>
            <w:i/>
            <w:iCs/>
            <w:color w:val="000000" w:themeColor="text1"/>
          </w:rPr>
          <w:t>Braun,</w:t>
        </w:r>
        <w:r w:rsidRPr="00883454">
          <w:rPr>
            <w:rFonts w:ascii="Georgia" w:hAnsi="Georgia" w:cs="Times New Roman"/>
            <w:color w:val="000000" w:themeColor="text1"/>
          </w:rPr>
          <w:t xml:space="preserve"> 287 F.3d at 1334</w:t>
        </w:r>
      </w:hyperlink>
      <w:r w:rsidRPr="00883454">
        <w:rPr>
          <w:rFonts w:ascii="Georgia" w:hAnsi="Georgia" w:cs="Times New Roman"/>
          <w:color w:val="000000" w:themeColor="text1"/>
        </w:rPr>
        <w:t xml:space="preserve">, the Sequence sets forth a method to attain identifiable, if spiritual and psychological, results: a “sense of well-being” and “boundless energy.” </w:t>
      </w:r>
      <w:r w:rsidRPr="00883454">
        <w:rPr>
          <w:rFonts w:ascii="Georgia" w:hAnsi="Georgia" w:cs="Times New Roman"/>
          <w:i/>
          <w:iCs/>
          <w:color w:val="000000" w:themeColor="text1"/>
        </w:rPr>
        <w:t>Bikram’s Beginning Yoga Class, supra,</w:t>
      </w:r>
      <w:r w:rsidRPr="00883454">
        <w:rPr>
          <w:rFonts w:ascii="Georgia" w:hAnsi="Georgia" w:cs="Times New Roman"/>
          <w:color w:val="000000" w:themeColor="text1"/>
        </w:rPr>
        <w:t xml:space="preserve"> at xi.</w:t>
      </w:r>
      <w:bookmarkStart w:id="27" w:name="co_footnoteReference_B00992037334947_ID0"/>
      <w:bookmarkEnd w:id="27"/>
      <w:r w:rsidRPr="00883454">
        <w:rPr>
          <w:rFonts w:ascii="Georgia" w:hAnsi="Georgia" w:cs="Times New Roman"/>
          <w:color w:val="000000" w:themeColor="text1"/>
        </w:rPr>
        <w:t xml:space="preserve"> As such, it falls within the Copyright Act’s definition of an idea, process, or system excluded from copyright protection. </w:t>
      </w:r>
      <w:r w:rsidRPr="00883454">
        <w:rPr>
          <w:rFonts w:ascii="Georgia" w:hAnsi="Georgia" w:cs="Times New Roman"/>
          <w:i/>
          <w:iCs/>
          <w:color w:val="000000" w:themeColor="text1"/>
        </w:rPr>
        <w:t>See</w:t>
      </w:r>
      <w:r w:rsidRPr="00883454">
        <w:rPr>
          <w:rFonts w:ascii="Georgia" w:hAnsi="Georgia" w:cs="Times New Roman"/>
          <w:color w:val="000000" w:themeColor="text1"/>
        </w:rPr>
        <w:t xml:space="preserve"> </w:t>
      </w:r>
      <w:hyperlink r:id="rId43" w:anchor="co_pp_a83b000018c76" w:history="1">
        <w:r w:rsidRPr="00883454">
          <w:rPr>
            <w:rFonts w:ascii="Georgia" w:hAnsi="Georgia" w:cs="Times New Roman"/>
            <w:color w:val="000000" w:themeColor="text1"/>
          </w:rPr>
          <w:t>17 U.S.C. § 102(b)</w:t>
        </w:r>
      </w:hyperlink>
      <w:r w:rsidRPr="00883454">
        <w:rPr>
          <w:rFonts w:ascii="Georgia" w:hAnsi="Georgia" w:cs="Times New Roman"/>
          <w:color w:val="000000" w:themeColor="text1"/>
        </w:rPr>
        <w:t>.</w:t>
      </w:r>
    </w:p>
    <w:p w:rsidR="00665CB9" w:rsidRPr="00883454" w:rsidRDefault="00665CB9" w:rsidP="00883454">
      <w:pPr>
        <w:widowControl w:val="0"/>
        <w:autoSpaceDE w:val="0"/>
        <w:autoSpaceDN w:val="0"/>
        <w:adjustRightInd w:val="0"/>
        <w:spacing w:after="0" w:line="240" w:lineRule="auto"/>
        <w:ind w:firstLine="720"/>
        <w:jc w:val="both"/>
        <w:rPr>
          <w:rFonts w:ascii="Georgia" w:hAnsi="Georgia" w:cs="Times New Roman"/>
          <w:color w:val="000000" w:themeColor="text1"/>
        </w:rPr>
      </w:pPr>
      <w:r w:rsidRPr="00883454">
        <w:rPr>
          <w:rFonts w:ascii="Georgia" w:hAnsi="Georgia" w:cs="Times New Roman"/>
          <w:color w:val="000000" w:themeColor="text1"/>
        </w:rPr>
        <w:t> </w:t>
      </w:r>
    </w:p>
    <w:p w:rsidR="00665CB9" w:rsidRPr="00883454" w:rsidRDefault="00106987" w:rsidP="00883454">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28" w:name="co_footnote_B00992037334947_1"/>
      <w:bookmarkEnd w:id="28"/>
      <w:r w:rsidRPr="00883454">
        <w:rPr>
          <w:rFonts w:ascii="Georgia" w:hAnsi="Georgia" w:cs="Times New Roman"/>
          <w:color w:val="000000" w:themeColor="text1"/>
        </w:rPr>
        <w:t>C</w:t>
      </w:r>
      <w:r w:rsidR="00665CB9" w:rsidRPr="00883454">
        <w:rPr>
          <w:rFonts w:ascii="Georgia" w:hAnsi="Georgia" w:cs="Times New Roman"/>
          <w:color w:val="000000" w:themeColor="text1"/>
        </w:rPr>
        <w:t xml:space="preserve">houdhury contends that the Sequence’s arrangement of postures is “particularly beautiful and graceful.” But beauty is not a basis for copyright protection. The performance of many ideas, systems, or processes may be beautiful: a surgeon’s intricate movements, a book-keeper’s careful notations, or a baker’s kneading might each possess a certain grace for at least some viewers. Indeed, from Vermeer’s milkmaid to Lewis Hine’s power house mechanic, the individual engrossed in a process has long attracted artistic attention. But the beauty of the process does not permit one who describes it to gain, through copyright, the monopolistic power to exclude all others from practicing it. This is true even where, as here, the process was conceived with at least some aesthetic considerations in mind. Just as some steps in a recipe may reflect no more than the author’s belief that a particular ingredient is beautiful or that a particular cooking technique is impressive to watch and empowering to practice, some elements in Choudhury’s Sequence may reflect his aesthetic preferences. Yet just like the recipe, the Sequence remains </w:t>
      </w:r>
      <w:proofErr w:type="spellStart"/>
      <w:r w:rsidR="00665CB9" w:rsidRPr="00883454">
        <w:rPr>
          <w:rFonts w:ascii="Georgia" w:hAnsi="Georgia" w:cs="Times New Roman"/>
          <w:color w:val="000000" w:themeColor="text1"/>
        </w:rPr>
        <w:t>unprotectable</w:t>
      </w:r>
      <w:proofErr w:type="spellEnd"/>
      <w:r w:rsidR="00665CB9" w:rsidRPr="00883454">
        <w:rPr>
          <w:rFonts w:ascii="Georgia" w:hAnsi="Georgia" w:cs="Times New Roman"/>
          <w:color w:val="000000" w:themeColor="text1"/>
        </w:rPr>
        <w:t xml:space="preserve"> as a process the design of which primarily reflects function, not expression.</w:t>
      </w:r>
    </w:p>
    <w:p w:rsidR="00665CB9" w:rsidRPr="00883454" w:rsidRDefault="00665CB9" w:rsidP="00883454">
      <w:pPr>
        <w:widowControl w:val="0"/>
        <w:autoSpaceDE w:val="0"/>
        <w:autoSpaceDN w:val="0"/>
        <w:adjustRightInd w:val="0"/>
        <w:spacing w:after="0" w:line="240" w:lineRule="auto"/>
        <w:ind w:firstLine="720"/>
        <w:jc w:val="both"/>
        <w:rPr>
          <w:rFonts w:ascii="Georgia" w:hAnsi="Georgia" w:cs="Times New Roman"/>
          <w:color w:val="000000" w:themeColor="text1"/>
        </w:rPr>
      </w:pPr>
      <w:r w:rsidRPr="00883454">
        <w:rPr>
          <w:rFonts w:ascii="Georgia" w:hAnsi="Georgia" w:cs="Times New Roman"/>
          <w:color w:val="000000" w:themeColor="text1"/>
        </w:rPr>
        <w:t> </w:t>
      </w:r>
    </w:p>
    <w:p w:rsidR="00665CB9" w:rsidRPr="00883454" w:rsidRDefault="00665CB9" w:rsidP="00883454">
      <w:pPr>
        <w:widowControl w:val="0"/>
        <w:autoSpaceDE w:val="0"/>
        <w:autoSpaceDN w:val="0"/>
        <w:adjustRightInd w:val="0"/>
        <w:spacing w:after="0" w:line="240" w:lineRule="auto"/>
        <w:ind w:firstLine="720"/>
        <w:jc w:val="both"/>
        <w:rPr>
          <w:rFonts w:ascii="Georgia" w:hAnsi="Georgia" w:cs="Times New Roman"/>
          <w:color w:val="000000" w:themeColor="text1"/>
        </w:rPr>
      </w:pPr>
      <w:r w:rsidRPr="00883454">
        <w:rPr>
          <w:rFonts w:ascii="Georgia" w:hAnsi="Georgia" w:cs="Times New Roman"/>
          <w:color w:val="000000" w:themeColor="text1"/>
        </w:rPr>
        <w:t xml:space="preserve">In drawing the “difficult” line between idea and expression in this case, we are mindful of the “guiding consideration” of the idea/expression dichotomy: “the preservation of the balance between competition and protection reflected in the patent and copyright laws.” </w:t>
      </w:r>
      <w:hyperlink r:id="rId44" w:anchor="co_pp_sp_506_1262" w:history="1">
        <w:r w:rsidRPr="00883454">
          <w:rPr>
            <w:rFonts w:ascii="Georgia" w:hAnsi="Georgia" w:cs="Times New Roman"/>
            <w:i/>
            <w:iCs/>
            <w:color w:val="000000" w:themeColor="text1"/>
          </w:rPr>
          <w:t xml:space="preserve">CDN Inc. v. </w:t>
        </w:r>
        <w:proofErr w:type="spellStart"/>
        <w:r w:rsidRPr="00883454">
          <w:rPr>
            <w:rFonts w:ascii="Georgia" w:hAnsi="Georgia" w:cs="Times New Roman"/>
            <w:i/>
            <w:iCs/>
            <w:color w:val="000000" w:themeColor="text1"/>
          </w:rPr>
          <w:t>Kapes</w:t>
        </w:r>
        <w:proofErr w:type="spellEnd"/>
        <w:r w:rsidRPr="00883454">
          <w:rPr>
            <w:rFonts w:ascii="Georgia" w:hAnsi="Georgia" w:cs="Times New Roman"/>
            <w:i/>
            <w:iCs/>
            <w:color w:val="000000" w:themeColor="text1"/>
          </w:rPr>
          <w:t>,</w:t>
        </w:r>
        <w:r w:rsidRPr="00883454">
          <w:rPr>
            <w:rFonts w:ascii="Georgia" w:hAnsi="Georgia" w:cs="Times New Roman"/>
            <w:color w:val="000000" w:themeColor="text1"/>
          </w:rPr>
          <w:t xml:space="preserve"> 197 F.3d 1256, 1262 (9th Cir.1999)</w:t>
        </w:r>
      </w:hyperlink>
      <w:r w:rsidRPr="00883454">
        <w:rPr>
          <w:rFonts w:ascii="Georgia" w:hAnsi="Georgia" w:cs="Times New Roman"/>
          <w:color w:val="000000" w:themeColor="text1"/>
        </w:rPr>
        <w:t xml:space="preserve"> (quoting </w:t>
      </w:r>
      <w:hyperlink r:id="rId45" w:anchor="co_pp_sp_350_742" w:history="1">
        <w:r w:rsidRPr="00883454">
          <w:rPr>
            <w:rFonts w:ascii="Georgia" w:hAnsi="Georgia" w:cs="Times New Roman"/>
            <w:i/>
            <w:iCs/>
            <w:color w:val="000000" w:themeColor="text1"/>
          </w:rPr>
          <w:t xml:space="preserve">Herbert Rosenthal Jewelry Corp. v. </w:t>
        </w:r>
        <w:proofErr w:type="spellStart"/>
        <w:r w:rsidRPr="00883454">
          <w:rPr>
            <w:rFonts w:ascii="Georgia" w:hAnsi="Georgia" w:cs="Times New Roman"/>
            <w:i/>
            <w:iCs/>
            <w:color w:val="000000" w:themeColor="text1"/>
          </w:rPr>
          <w:t>Kalpakian</w:t>
        </w:r>
        <w:proofErr w:type="spellEnd"/>
        <w:r w:rsidRPr="00883454">
          <w:rPr>
            <w:rFonts w:ascii="Georgia" w:hAnsi="Georgia" w:cs="Times New Roman"/>
            <w:i/>
            <w:iCs/>
            <w:color w:val="000000" w:themeColor="text1"/>
          </w:rPr>
          <w:t>,</w:t>
        </w:r>
        <w:r w:rsidRPr="00883454">
          <w:rPr>
            <w:rFonts w:ascii="Georgia" w:hAnsi="Georgia" w:cs="Times New Roman"/>
            <w:color w:val="000000" w:themeColor="text1"/>
          </w:rPr>
          <w:t xml:space="preserve"> 446 F.2d 738, 742 (9th Cir.1971)</w:t>
        </w:r>
      </w:hyperlink>
      <w:r w:rsidRPr="00883454">
        <w:rPr>
          <w:rFonts w:ascii="Georgia" w:hAnsi="Georgia" w:cs="Times New Roman"/>
          <w:color w:val="000000" w:themeColor="text1"/>
        </w:rPr>
        <w:t xml:space="preserve">). As in </w:t>
      </w:r>
      <w:r w:rsidRPr="00883454">
        <w:rPr>
          <w:rFonts w:ascii="Georgia" w:hAnsi="Georgia" w:cs="Times New Roman"/>
          <w:i/>
          <w:iCs/>
          <w:color w:val="000000" w:themeColor="text1"/>
        </w:rPr>
        <w:t>Baker,</w:t>
      </w:r>
      <w:r w:rsidRPr="00883454">
        <w:rPr>
          <w:rFonts w:ascii="Georgia" w:hAnsi="Georgia" w:cs="Times New Roman"/>
          <w:color w:val="000000" w:themeColor="text1"/>
        </w:rPr>
        <w:t xml:space="preserve"> the “object” of the book </w:t>
      </w:r>
      <w:r w:rsidRPr="00883454">
        <w:rPr>
          <w:rFonts w:ascii="Georgia" w:hAnsi="Georgia" w:cs="Times New Roman"/>
          <w:i/>
          <w:iCs/>
          <w:color w:val="000000" w:themeColor="text1"/>
        </w:rPr>
        <w:t>Bikram’s Beginning Yoga Class</w:t>
      </w:r>
      <w:r w:rsidRPr="00883454">
        <w:rPr>
          <w:rFonts w:ascii="Georgia" w:hAnsi="Georgia" w:cs="Times New Roman"/>
          <w:color w:val="000000" w:themeColor="text1"/>
        </w:rPr>
        <w:t xml:space="preserve"> is “explanation”: it tells readers how to perform the Sequence and encourages them to try it. </w:t>
      </w:r>
      <w:hyperlink r:id="rId46" w:anchor="co_pp_sp_780_105" w:history="1">
        <w:r w:rsidRPr="00883454">
          <w:rPr>
            <w:rFonts w:ascii="Georgia" w:hAnsi="Georgia" w:cs="Times New Roman"/>
            <w:i/>
            <w:iCs/>
            <w:color w:val="000000" w:themeColor="text1"/>
          </w:rPr>
          <w:t>Baker,</w:t>
        </w:r>
        <w:r w:rsidRPr="00883454">
          <w:rPr>
            <w:rFonts w:ascii="Georgia" w:hAnsi="Georgia" w:cs="Times New Roman"/>
            <w:color w:val="000000" w:themeColor="text1"/>
          </w:rPr>
          <w:t xml:space="preserve"> 101 U.S. at 105</w:t>
        </w:r>
      </w:hyperlink>
      <w:r w:rsidRPr="00883454">
        <w:rPr>
          <w:rFonts w:ascii="Georgia" w:hAnsi="Georgia" w:cs="Times New Roman"/>
          <w:color w:val="000000" w:themeColor="text1"/>
        </w:rPr>
        <w:t xml:space="preserve">. The introduction to </w:t>
      </w:r>
      <w:r w:rsidRPr="00883454">
        <w:rPr>
          <w:rFonts w:ascii="Georgia" w:hAnsi="Georgia" w:cs="Times New Roman"/>
          <w:i/>
          <w:iCs/>
          <w:color w:val="000000" w:themeColor="text1"/>
        </w:rPr>
        <w:t xml:space="preserve">Bikram’s Beginning Yoga </w:t>
      </w:r>
      <w:r w:rsidRPr="00883454">
        <w:rPr>
          <w:rFonts w:ascii="Georgia" w:hAnsi="Georgia" w:cs="Times New Roman"/>
          <w:i/>
          <w:iCs/>
          <w:color w:val="000000" w:themeColor="text1"/>
        </w:rPr>
        <w:lastRenderedPageBreak/>
        <w:t>Class,</w:t>
      </w:r>
      <w:r w:rsidRPr="00883454">
        <w:rPr>
          <w:rFonts w:ascii="Georgia" w:hAnsi="Georgia" w:cs="Times New Roman"/>
          <w:color w:val="000000" w:themeColor="text1"/>
        </w:rPr>
        <w:t xml:space="preserve"> for example, urges the audience to: (i) “turn to the Contents page,” (ii) “read </w:t>
      </w:r>
      <w:bookmarkStart w:id="29" w:name="co_pp_sp_506_1041_1"/>
      <w:bookmarkEnd w:id="29"/>
      <w:r w:rsidRPr="00883454">
        <w:rPr>
          <w:rFonts w:ascii="Georgia" w:hAnsi="Georgia" w:cs="Times New Roman"/>
          <w:color w:val="000000" w:themeColor="text1"/>
        </w:rPr>
        <w:t xml:space="preserve">through the book,” (iii) “build gradually,” and (iv) “do the poses in the strict order given in this book.” </w:t>
      </w:r>
      <w:r w:rsidRPr="00883454">
        <w:rPr>
          <w:rFonts w:ascii="Georgia" w:hAnsi="Georgia" w:cs="Times New Roman"/>
          <w:i/>
          <w:iCs/>
          <w:color w:val="000000" w:themeColor="text1"/>
        </w:rPr>
        <w:t>Bikram’s Beginning Yoga Class, supra,</w:t>
      </w:r>
      <w:r w:rsidRPr="00883454">
        <w:rPr>
          <w:rFonts w:ascii="Georgia" w:hAnsi="Georgia" w:cs="Times New Roman"/>
          <w:color w:val="000000" w:themeColor="text1"/>
        </w:rPr>
        <w:t xml:space="preserve"> at ix-xi. Like a book explaining “Book-keeping Simplified,” </w:t>
      </w:r>
      <w:hyperlink r:id="rId47" w:anchor="co_pp_sp_780_100" w:history="1">
        <w:r w:rsidRPr="00883454">
          <w:rPr>
            <w:rFonts w:ascii="Georgia" w:hAnsi="Georgia" w:cs="Times New Roman"/>
            <w:color w:val="000000" w:themeColor="text1"/>
          </w:rPr>
          <w:t>101 U.S. at 100</w:t>
        </w:r>
      </w:hyperlink>
      <w:r w:rsidRPr="00883454">
        <w:rPr>
          <w:rFonts w:ascii="Georgia" w:hAnsi="Georgia" w:cs="Times New Roman"/>
          <w:color w:val="000000" w:themeColor="text1"/>
        </w:rPr>
        <w:t xml:space="preserve">, </w:t>
      </w:r>
      <w:r w:rsidRPr="00883454">
        <w:rPr>
          <w:rFonts w:ascii="Georgia" w:hAnsi="Georgia" w:cs="Times New Roman"/>
          <w:i/>
          <w:iCs/>
          <w:color w:val="000000" w:themeColor="text1"/>
        </w:rPr>
        <w:t>Bikram’s Beginning Yoga Class</w:t>
      </w:r>
      <w:r w:rsidRPr="00883454">
        <w:rPr>
          <w:rFonts w:ascii="Georgia" w:hAnsi="Georgia" w:cs="Times New Roman"/>
          <w:color w:val="000000" w:themeColor="text1"/>
        </w:rPr>
        <w:t xml:space="preserve"> sets out to “communicate to the world the useful knowledge which it contains.” </w:t>
      </w:r>
      <w:hyperlink r:id="rId48" w:anchor="co_pp_sp_780_103" w:history="1">
        <w:r w:rsidRPr="00883454">
          <w:rPr>
            <w:rFonts w:ascii="Georgia" w:hAnsi="Georgia" w:cs="Times New Roman"/>
            <w:i/>
            <w:iCs/>
            <w:color w:val="000000" w:themeColor="text1"/>
          </w:rPr>
          <w:t>Id.</w:t>
        </w:r>
        <w:r w:rsidRPr="00883454">
          <w:rPr>
            <w:rFonts w:ascii="Georgia" w:hAnsi="Georgia" w:cs="Times New Roman"/>
            <w:color w:val="000000" w:themeColor="text1"/>
          </w:rPr>
          <w:t xml:space="preserve"> at 103</w:t>
        </w:r>
      </w:hyperlink>
      <w:r w:rsidRPr="00883454">
        <w:rPr>
          <w:rFonts w:ascii="Georgia" w:hAnsi="Georgia" w:cs="Times New Roman"/>
          <w:color w:val="000000" w:themeColor="text1"/>
        </w:rPr>
        <w:t xml:space="preserve">. It invites readers to practice the method it describes. “But this object would be frustrated if the knowledge could not be used without incurring the guilt of piracy of the book.” </w:t>
      </w:r>
      <w:r w:rsidRPr="00883454">
        <w:rPr>
          <w:rFonts w:ascii="Georgia" w:hAnsi="Georgia" w:cs="Times New Roman"/>
          <w:i/>
          <w:iCs/>
          <w:color w:val="000000" w:themeColor="text1"/>
        </w:rPr>
        <w:t>Id.</w:t>
      </w:r>
      <w:r w:rsidRPr="00883454">
        <w:rPr>
          <w:rFonts w:ascii="Georgia" w:hAnsi="Georgia" w:cs="Times New Roman"/>
          <w:color w:val="000000" w:themeColor="text1"/>
        </w:rPr>
        <w:t xml:space="preserve"> Consumers would have little reason to buy Choudhury’s book if Choudhury held a monopoly on the practice of the very activity he sought to popularize. Rather than “</w:t>
      </w:r>
      <w:proofErr w:type="spellStart"/>
      <w:r w:rsidRPr="00883454">
        <w:rPr>
          <w:rFonts w:ascii="Georgia" w:hAnsi="Georgia" w:cs="Times New Roman"/>
          <w:color w:val="000000" w:themeColor="text1"/>
        </w:rPr>
        <w:t>stimulat</w:t>
      </w:r>
      <w:proofErr w:type="spellEnd"/>
      <w:r w:rsidRPr="00883454">
        <w:rPr>
          <w:rFonts w:ascii="Georgia" w:hAnsi="Georgia" w:cs="Times New Roman"/>
          <w:color w:val="000000" w:themeColor="text1"/>
        </w:rPr>
        <w:t xml:space="preserve"> [</w:t>
      </w:r>
      <w:proofErr w:type="spellStart"/>
      <w:r w:rsidRPr="00883454">
        <w:rPr>
          <w:rFonts w:ascii="Georgia" w:hAnsi="Georgia" w:cs="Times New Roman"/>
          <w:color w:val="000000" w:themeColor="text1"/>
        </w:rPr>
        <w:t>ing</w:t>
      </w:r>
      <w:proofErr w:type="spellEnd"/>
      <w:r w:rsidRPr="00883454">
        <w:rPr>
          <w:rFonts w:ascii="Georgia" w:hAnsi="Georgia" w:cs="Times New Roman"/>
          <w:color w:val="000000" w:themeColor="text1"/>
        </w:rPr>
        <w:t xml:space="preserve">] artistic creativity for the general public good,” copyright protection for the Sequence would prevent the public from engaging with Choudhury’s idea and building upon it. </w:t>
      </w:r>
      <w:hyperlink r:id="rId49" w:anchor="co_pp_sp_506_1111" w:history="1">
        <w:r w:rsidRPr="00883454">
          <w:rPr>
            <w:rFonts w:ascii="Georgia" w:hAnsi="Georgia" w:cs="Times New Roman"/>
            <w:i/>
            <w:iCs/>
            <w:color w:val="000000" w:themeColor="text1"/>
          </w:rPr>
          <w:t xml:space="preserve">Mattel, Inc. v. MGA </w:t>
        </w:r>
        <w:proofErr w:type="spellStart"/>
        <w:r w:rsidRPr="00883454">
          <w:rPr>
            <w:rFonts w:ascii="Georgia" w:hAnsi="Georgia" w:cs="Times New Roman"/>
            <w:i/>
            <w:iCs/>
            <w:color w:val="000000" w:themeColor="text1"/>
          </w:rPr>
          <w:t>Entm’t</w:t>
        </w:r>
        <w:proofErr w:type="spellEnd"/>
        <w:r w:rsidRPr="00883454">
          <w:rPr>
            <w:rFonts w:ascii="Georgia" w:hAnsi="Georgia" w:cs="Times New Roman"/>
            <w:i/>
            <w:iCs/>
            <w:color w:val="000000" w:themeColor="text1"/>
          </w:rPr>
          <w:t>, Inc.,</w:t>
        </w:r>
        <w:r w:rsidRPr="00883454">
          <w:rPr>
            <w:rFonts w:ascii="Georgia" w:hAnsi="Georgia" w:cs="Times New Roman"/>
            <w:color w:val="000000" w:themeColor="text1"/>
          </w:rPr>
          <w:t xml:space="preserve"> 705 F.3d 1108, 1111 (9th Cir.2013)</w:t>
        </w:r>
      </w:hyperlink>
      <w:r w:rsidRPr="00883454">
        <w:rPr>
          <w:rFonts w:ascii="Georgia" w:hAnsi="Georgia" w:cs="Times New Roman"/>
          <w:color w:val="000000" w:themeColor="text1"/>
        </w:rPr>
        <w:t xml:space="preserve"> (quoting </w:t>
      </w:r>
      <w:hyperlink r:id="rId50" w:history="1">
        <w:r w:rsidRPr="00883454">
          <w:rPr>
            <w:rFonts w:ascii="Georgia" w:hAnsi="Georgia" w:cs="Times New Roman"/>
            <w:i/>
            <w:iCs/>
            <w:color w:val="000000" w:themeColor="text1"/>
          </w:rPr>
          <w:t>Twentieth Century Music Corp. v. Aiken,</w:t>
        </w:r>
        <w:r w:rsidRPr="00883454">
          <w:rPr>
            <w:rFonts w:ascii="Georgia" w:hAnsi="Georgia" w:cs="Times New Roman"/>
            <w:color w:val="000000" w:themeColor="text1"/>
          </w:rPr>
          <w:t xml:space="preserve"> 422 U.S. 151, 156 (1975)</w:t>
        </w:r>
      </w:hyperlink>
      <w:r w:rsidRPr="00883454">
        <w:rPr>
          <w:rFonts w:ascii="Georgia" w:hAnsi="Georgia" w:cs="Times New Roman"/>
          <w:color w:val="000000" w:themeColor="text1"/>
        </w:rPr>
        <w:t>).</w:t>
      </w:r>
      <w:bookmarkStart w:id="30" w:name="co_anchor_I81e1a2b39f3111e598dc8b09b4f04"/>
      <w:bookmarkEnd w:id="30"/>
    </w:p>
    <w:p w:rsidR="00665CB9" w:rsidRPr="00883454" w:rsidRDefault="00665CB9" w:rsidP="00883454">
      <w:pPr>
        <w:widowControl w:val="0"/>
        <w:autoSpaceDE w:val="0"/>
        <w:autoSpaceDN w:val="0"/>
        <w:adjustRightInd w:val="0"/>
        <w:spacing w:before="200" w:after="0" w:line="240" w:lineRule="auto"/>
        <w:ind w:firstLine="720"/>
        <w:rPr>
          <w:rFonts w:ascii="Georgia" w:hAnsi="Georgia" w:cs="Times New Roman"/>
          <w:b/>
          <w:bCs/>
          <w:i/>
          <w:iCs/>
          <w:color w:val="000000" w:themeColor="text1"/>
        </w:rPr>
      </w:pPr>
      <w:r w:rsidRPr="00883454">
        <w:rPr>
          <w:rFonts w:ascii="Georgia" w:hAnsi="Georgia" w:cs="Times New Roman"/>
          <w:b/>
          <w:bCs/>
          <w:i/>
          <w:iCs/>
          <w:color w:val="000000" w:themeColor="text1"/>
        </w:rPr>
        <w:t>B. The Sequence Is Not a Copyrightable Compilation.</w:t>
      </w:r>
    </w:p>
    <w:p w:rsidR="00883454" w:rsidRDefault="00883454" w:rsidP="00883454">
      <w:pPr>
        <w:widowControl w:val="0"/>
        <w:autoSpaceDE w:val="0"/>
        <w:autoSpaceDN w:val="0"/>
        <w:adjustRightInd w:val="0"/>
        <w:spacing w:after="0" w:line="240" w:lineRule="auto"/>
        <w:ind w:firstLine="720"/>
        <w:jc w:val="both"/>
        <w:rPr>
          <w:rFonts w:ascii="Georgia" w:hAnsi="Georgia" w:cs="Times New Roman"/>
          <w:color w:val="000000" w:themeColor="text1"/>
        </w:rPr>
      </w:pPr>
    </w:p>
    <w:p w:rsidR="00665CB9" w:rsidRPr="00883454" w:rsidRDefault="00665CB9" w:rsidP="00883454">
      <w:pPr>
        <w:widowControl w:val="0"/>
        <w:autoSpaceDE w:val="0"/>
        <w:autoSpaceDN w:val="0"/>
        <w:adjustRightInd w:val="0"/>
        <w:spacing w:after="0" w:line="240" w:lineRule="auto"/>
        <w:ind w:firstLine="720"/>
        <w:jc w:val="both"/>
        <w:rPr>
          <w:rFonts w:ascii="Georgia" w:hAnsi="Georgia" w:cs="Times New Roman"/>
          <w:color w:val="000000" w:themeColor="text1"/>
        </w:rPr>
      </w:pPr>
      <w:r w:rsidRPr="00883454">
        <w:rPr>
          <w:rFonts w:ascii="Georgia" w:hAnsi="Georgia" w:cs="Times New Roman"/>
          <w:color w:val="000000" w:themeColor="text1"/>
        </w:rPr>
        <w:t>Choudhury contends that the Sequence is entitled to copyright protection as a “compilation.” Specifically, Choudhury claims that the Sequence qualifies for copyright protection because his “selection, coordination, and arrangement” of twenty-six poses and two breathing exercises create a coherent and expressive composition. The district court correctly rejected this argument.</w:t>
      </w:r>
    </w:p>
    <w:p w:rsidR="00665CB9" w:rsidRPr="00883454" w:rsidRDefault="00665CB9" w:rsidP="00883454">
      <w:pPr>
        <w:widowControl w:val="0"/>
        <w:autoSpaceDE w:val="0"/>
        <w:autoSpaceDN w:val="0"/>
        <w:adjustRightInd w:val="0"/>
        <w:spacing w:after="0" w:line="240" w:lineRule="auto"/>
        <w:ind w:firstLine="720"/>
        <w:jc w:val="both"/>
        <w:rPr>
          <w:rFonts w:ascii="Georgia" w:hAnsi="Georgia" w:cs="Times New Roman"/>
          <w:color w:val="000000" w:themeColor="text1"/>
        </w:rPr>
      </w:pPr>
      <w:r w:rsidRPr="00883454">
        <w:rPr>
          <w:rFonts w:ascii="Georgia" w:hAnsi="Georgia" w:cs="Times New Roman"/>
          <w:color w:val="000000" w:themeColor="text1"/>
        </w:rPr>
        <w:t> </w:t>
      </w:r>
    </w:p>
    <w:p w:rsidR="00665CB9" w:rsidRPr="00883454" w:rsidRDefault="00665CB9" w:rsidP="00883454">
      <w:pPr>
        <w:widowControl w:val="0"/>
        <w:autoSpaceDE w:val="0"/>
        <w:autoSpaceDN w:val="0"/>
        <w:adjustRightInd w:val="0"/>
        <w:spacing w:after="0" w:line="240" w:lineRule="auto"/>
        <w:ind w:firstLine="720"/>
        <w:jc w:val="both"/>
        <w:rPr>
          <w:rFonts w:ascii="Georgia" w:hAnsi="Georgia" w:cs="Times New Roman"/>
          <w:color w:val="000000" w:themeColor="text1"/>
        </w:rPr>
      </w:pPr>
      <w:r w:rsidRPr="00883454">
        <w:rPr>
          <w:rFonts w:ascii="Georgia" w:hAnsi="Georgia" w:cs="Times New Roman"/>
          <w:color w:val="000000" w:themeColor="text1"/>
        </w:rPr>
        <w:t xml:space="preserve">The Copyright Act identifies compilations as a proper subject of copyright. Section 103 of the Copyright Act provides that “[t]he subject matter of copyright as specified in </w:t>
      </w:r>
      <w:hyperlink r:id="rId51" w:history="1">
        <w:r w:rsidRPr="00883454">
          <w:rPr>
            <w:rFonts w:ascii="Georgia" w:hAnsi="Georgia" w:cs="Times New Roman"/>
            <w:color w:val="000000" w:themeColor="text1"/>
          </w:rPr>
          <w:t>section 102</w:t>
        </w:r>
      </w:hyperlink>
      <w:r w:rsidRPr="00883454">
        <w:rPr>
          <w:rFonts w:ascii="Georgia" w:hAnsi="Georgia" w:cs="Times New Roman"/>
          <w:color w:val="000000" w:themeColor="text1"/>
        </w:rPr>
        <w:t xml:space="preserve"> includes compilations.” </w:t>
      </w:r>
      <w:hyperlink r:id="rId52" w:anchor="co_pp_8b3b0000958a4" w:history="1">
        <w:r w:rsidRPr="00883454">
          <w:rPr>
            <w:rFonts w:ascii="Georgia" w:hAnsi="Georgia" w:cs="Times New Roman"/>
            <w:color w:val="000000" w:themeColor="text1"/>
          </w:rPr>
          <w:t>17 U.S.C. § 103(a)</w:t>
        </w:r>
      </w:hyperlink>
      <w:r w:rsidRPr="00883454">
        <w:rPr>
          <w:rFonts w:ascii="Georgia" w:hAnsi="Georgia" w:cs="Times New Roman"/>
          <w:color w:val="000000" w:themeColor="text1"/>
        </w:rPr>
        <w:t xml:space="preserve">. A “compilation” is “a work formed by the collection and assembling of preexisting materials or of data that are selected, coordinated, or arranged in such a way that the resulting work as a whole constitutes an original work of authorship.” </w:t>
      </w:r>
      <w:r w:rsidRPr="00883454">
        <w:rPr>
          <w:rFonts w:ascii="Georgia" w:hAnsi="Georgia" w:cs="Times New Roman"/>
          <w:i/>
          <w:iCs/>
          <w:color w:val="000000" w:themeColor="text1"/>
        </w:rPr>
        <w:t>Id.</w:t>
      </w:r>
      <w:r w:rsidRPr="00883454">
        <w:rPr>
          <w:rFonts w:ascii="Georgia" w:hAnsi="Georgia" w:cs="Times New Roman"/>
          <w:color w:val="000000" w:themeColor="text1"/>
        </w:rPr>
        <w:t xml:space="preserve"> § 101. It essential to recognize, however, that </w:t>
      </w:r>
      <w:hyperlink r:id="rId53" w:history="1">
        <w:r w:rsidRPr="00883454">
          <w:rPr>
            <w:rFonts w:ascii="Georgia" w:hAnsi="Georgia" w:cs="Times New Roman"/>
            <w:color w:val="000000" w:themeColor="text1"/>
          </w:rPr>
          <w:t>Section 103</w:t>
        </w:r>
      </w:hyperlink>
      <w:r w:rsidRPr="00883454">
        <w:rPr>
          <w:rFonts w:ascii="Georgia" w:hAnsi="Georgia" w:cs="Times New Roman"/>
          <w:color w:val="000000" w:themeColor="text1"/>
        </w:rPr>
        <w:t xml:space="preserve"> complements </w:t>
      </w:r>
      <w:hyperlink r:id="rId54" w:history="1">
        <w:r w:rsidRPr="00883454">
          <w:rPr>
            <w:rFonts w:ascii="Georgia" w:hAnsi="Georgia" w:cs="Times New Roman"/>
            <w:color w:val="000000" w:themeColor="text1"/>
          </w:rPr>
          <w:t>Section 102</w:t>
        </w:r>
      </w:hyperlink>
      <w:r w:rsidRPr="00883454">
        <w:rPr>
          <w:rFonts w:ascii="Georgia" w:hAnsi="Georgia" w:cs="Times New Roman"/>
          <w:color w:val="000000" w:themeColor="text1"/>
        </w:rPr>
        <w:t xml:space="preserve">. Thus, while a compilation may be eligible for copyright protection, it must nevertheless satisfy the requirements of </w:t>
      </w:r>
      <w:hyperlink r:id="rId55" w:history="1">
        <w:r w:rsidRPr="00883454">
          <w:rPr>
            <w:rFonts w:ascii="Georgia" w:hAnsi="Georgia" w:cs="Times New Roman"/>
            <w:color w:val="000000" w:themeColor="text1"/>
          </w:rPr>
          <w:t>Section 102</w:t>
        </w:r>
      </w:hyperlink>
      <w:r w:rsidRPr="00883454">
        <w:rPr>
          <w:rFonts w:ascii="Georgia" w:hAnsi="Georgia" w:cs="Times New Roman"/>
          <w:color w:val="000000" w:themeColor="text1"/>
        </w:rPr>
        <w:t xml:space="preserve">. A compilation must, in other words, represent an “original </w:t>
      </w:r>
      <w:proofErr w:type="gramStart"/>
      <w:r w:rsidRPr="00883454">
        <w:rPr>
          <w:rFonts w:ascii="Georgia" w:hAnsi="Georgia" w:cs="Times New Roman"/>
          <w:color w:val="000000" w:themeColor="text1"/>
        </w:rPr>
        <w:t>work[</w:t>
      </w:r>
      <w:proofErr w:type="gramEnd"/>
      <w:r w:rsidRPr="00883454">
        <w:rPr>
          <w:rFonts w:ascii="Georgia" w:hAnsi="Georgia" w:cs="Times New Roman"/>
          <w:color w:val="000000" w:themeColor="text1"/>
        </w:rPr>
        <w:t xml:space="preserve"> ] of authorship,” and “[i]n no case” may copyright protection “extend to any idea, procedure, process, [or] system.” </w:t>
      </w:r>
      <w:r w:rsidRPr="00883454">
        <w:rPr>
          <w:rFonts w:ascii="Georgia" w:hAnsi="Georgia" w:cs="Times New Roman"/>
          <w:i/>
          <w:iCs/>
          <w:color w:val="000000" w:themeColor="text1"/>
        </w:rPr>
        <w:t>Id.</w:t>
      </w:r>
      <w:r w:rsidRPr="00883454">
        <w:rPr>
          <w:rFonts w:ascii="Georgia" w:hAnsi="Georgia" w:cs="Times New Roman"/>
          <w:color w:val="000000" w:themeColor="text1"/>
        </w:rPr>
        <w:t xml:space="preserve"> § 102. The availability of copyright protection for compilations, therefore, does not eliminate </w:t>
      </w:r>
      <w:hyperlink r:id="rId56" w:history="1">
        <w:r w:rsidRPr="00883454">
          <w:rPr>
            <w:rFonts w:ascii="Georgia" w:hAnsi="Georgia" w:cs="Times New Roman"/>
            <w:color w:val="000000" w:themeColor="text1"/>
          </w:rPr>
          <w:t>Section 102</w:t>
        </w:r>
      </w:hyperlink>
      <w:r w:rsidRPr="00883454">
        <w:rPr>
          <w:rFonts w:ascii="Georgia" w:hAnsi="Georgia" w:cs="Times New Roman"/>
          <w:color w:val="000000" w:themeColor="text1"/>
        </w:rPr>
        <w:t>’s categorical bar on copyright protection for ideas.</w:t>
      </w:r>
    </w:p>
    <w:p w:rsidR="00665CB9" w:rsidRPr="00883454" w:rsidRDefault="00665CB9" w:rsidP="00883454">
      <w:pPr>
        <w:widowControl w:val="0"/>
        <w:autoSpaceDE w:val="0"/>
        <w:autoSpaceDN w:val="0"/>
        <w:adjustRightInd w:val="0"/>
        <w:spacing w:after="0" w:line="240" w:lineRule="auto"/>
        <w:ind w:firstLine="720"/>
        <w:jc w:val="both"/>
        <w:rPr>
          <w:rFonts w:ascii="Georgia" w:hAnsi="Georgia" w:cs="Times New Roman"/>
          <w:color w:val="000000" w:themeColor="text1"/>
        </w:rPr>
      </w:pPr>
      <w:r w:rsidRPr="00883454">
        <w:rPr>
          <w:rFonts w:ascii="Georgia" w:hAnsi="Georgia" w:cs="Times New Roman"/>
          <w:color w:val="000000" w:themeColor="text1"/>
        </w:rPr>
        <w:t> </w:t>
      </w:r>
    </w:p>
    <w:p w:rsidR="00665CB9" w:rsidRPr="00883454" w:rsidRDefault="00665CB9" w:rsidP="00883454">
      <w:pPr>
        <w:widowControl w:val="0"/>
        <w:autoSpaceDE w:val="0"/>
        <w:autoSpaceDN w:val="0"/>
        <w:adjustRightInd w:val="0"/>
        <w:spacing w:after="0" w:line="240" w:lineRule="auto"/>
        <w:ind w:firstLine="720"/>
        <w:jc w:val="both"/>
        <w:rPr>
          <w:rFonts w:ascii="Georgia" w:hAnsi="Georgia" w:cs="Times New Roman"/>
          <w:color w:val="000000" w:themeColor="text1"/>
        </w:rPr>
      </w:pPr>
      <w:r w:rsidRPr="00883454">
        <w:rPr>
          <w:rFonts w:ascii="Georgia" w:hAnsi="Georgia" w:cs="Times New Roman"/>
          <w:color w:val="000000" w:themeColor="text1"/>
        </w:rPr>
        <w:t xml:space="preserve">The Supreme Court addressed the relationship between these “two well-established propositions”—that compilations are eligible for copyright but facts and ideas are not—in </w:t>
      </w:r>
      <w:hyperlink r:id="rId57" w:history="1">
        <w:r w:rsidRPr="00883454">
          <w:rPr>
            <w:rFonts w:ascii="Georgia" w:hAnsi="Georgia" w:cs="Times New Roman"/>
            <w:i/>
            <w:iCs/>
            <w:color w:val="000000" w:themeColor="text1"/>
          </w:rPr>
          <w:t>Feist,</w:t>
        </w:r>
        <w:r w:rsidR="00106987" w:rsidRPr="00883454">
          <w:rPr>
            <w:rFonts w:ascii="Georgia" w:hAnsi="Georgia" w:cs="Times New Roman"/>
            <w:color w:val="000000" w:themeColor="text1"/>
          </w:rPr>
          <w:t xml:space="preserve"> 499 U.S. 340</w:t>
        </w:r>
      </w:hyperlink>
      <w:r w:rsidRPr="00883454">
        <w:rPr>
          <w:rFonts w:ascii="Georgia" w:hAnsi="Georgia" w:cs="Times New Roman"/>
          <w:color w:val="000000" w:themeColor="text1"/>
        </w:rPr>
        <w:t xml:space="preserve">. In </w:t>
      </w:r>
      <w:r w:rsidRPr="00883454">
        <w:rPr>
          <w:rFonts w:ascii="Georgia" w:hAnsi="Georgia" w:cs="Times New Roman"/>
          <w:i/>
          <w:iCs/>
          <w:color w:val="000000" w:themeColor="text1"/>
        </w:rPr>
        <w:t>Feist,</w:t>
      </w:r>
      <w:r w:rsidRPr="00883454">
        <w:rPr>
          <w:rFonts w:ascii="Georgia" w:hAnsi="Georgia" w:cs="Times New Roman"/>
          <w:color w:val="000000" w:themeColor="text1"/>
        </w:rPr>
        <w:t xml:space="preserve"> the Court considered whether the collection of names, towns, and telephone numbers in a telephone directory is eligible for copyright protection as a compilation. The Court held that “[a] factual compilation is eligible for copyright if it features an original selection or arrangement of facts, but the copyright is limited to the particular selection or arrangement. In no event may copyright extend to the facts themselves.” </w:t>
      </w:r>
      <w:hyperlink r:id="rId58" w:history="1">
        <w:r w:rsidRPr="00883454">
          <w:rPr>
            <w:rFonts w:ascii="Georgia" w:hAnsi="Georgia" w:cs="Times New Roman"/>
            <w:i/>
            <w:iCs/>
            <w:color w:val="000000" w:themeColor="text1"/>
          </w:rPr>
          <w:t>Id.</w:t>
        </w:r>
        <w:r w:rsidRPr="00883454">
          <w:rPr>
            <w:rFonts w:ascii="Georgia" w:hAnsi="Georgia" w:cs="Times New Roman"/>
            <w:color w:val="000000" w:themeColor="text1"/>
          </w:rPr>
          <w:t xml:space="preserve"> at 350–51</w:t>
        </w:r>
      </w:hyperlink>
      <w:r w:rsidRPr="00883454">
        <w:rPr>
          <w:rFonts w:ascii="Georgia" w:hAnsi="Georgia" w:cs="Times New Roman"/>
          <w:color w:val="000000" w:themeColor="text1"/>
        </w:rPr>
        <w:t>.</w:t>
      </w:r>
    </w:p>
    <w:p w:rsidR="00665CB9" w:rsidRPr="00883454" w:rsidRDefault="00665CB9" w:rsidP="00883454">
      <w:pPr>
        <w:widowControl w:val="0"/>
        <w:autoSpaceDE w:val="0"/>
        <w:autoSpaceDN w:val="0"/>
        <w:adjustRightInd w:val="0"/>
        <w:spacing w:after="0" w:line="240" w:lineRule="auto"/>
        <w:ind w:firstLine="720"/>
        <w:jc w:val="both"/>
        <w:rPr>
          <w:rFonts w:ascii="Georgia" w:hAnsi="Georgia" w:cs="Times New Roman"/>
          <w:color w:val="000000" w:themeColor="text1"/>
        </w:rPr>
      </w:pPr>
      <w:r w:rsidRPr="00883454">
        <w:rPr>
          <w:rFonts w:ascii="Georgia" w:hAnsi="Georgia" w:cs="Times New Roman"/>
          <w:color w:val="000000" w:themeColor="text1"/>
        </w:rPr>
        <w:lastRenderedPageBreak/>
        <w:t> </w:t>
      </w:r>
    </w:p>
    <w:p w:rsidR="00665CB9" w:rsidRPr="00883454" w:rsidRDefault="00665CB9" w:rsidP="00883454">
      <w:pPr>
        <w:widowControl w:val="0"/>
        <w:autoSpaceDE w:val="0"/>
        <w:autoSpaceDN w:val="0"/>
        <w:adjustRightInd w:val="0"/>
        <w:spacing w:after="0" w:line="240" w:lineRule="auto"/>
        <w:ind w:firstLine="720"/>
        <w:jc w:val="both"/>
        <w:rPr>
          <w:rFonts w:ascii="Georgia" w:hAnsi="Georgia" w:cs="Times New Roman"/>
          <w:color w:val="000000" w:themeColor="text1"/>
        </w:rPr>
      </w:pPr>
      <w:r w:rsidRPr="00883454">
        <w:rPr>
          <w:rFonts w:ascii="Georgia" w:hAnsi="Georgia" w:cs="Times New Roman"/>
          <w:color w:val="000000" w:themeColor="text1"/>
        </w:rPr>
        <w:t xml:space="preserve">By claiming copyright protection for the Sequence as a compilation, Choudhury misconstrues the scope of copyright protection for compilations. As we have explained, the Sequence is an idea, process, or system; therefore, it is not eligible for copyright protection. That the Sequence may possess many constituent parts does not transform it into a proper subject of copyright protection. Virtually any process or system could be dissected in a similar fashion. </w:t>
      </w:r>
      <w:proofErr w:type="gramStart"/>
      <w:r w:rsidRPr="00883454">
        <w:rPr>
          <w:rFonts w:ascii="Georgia" w:hAnsi="Georgia" w:cs="Times New Roman"/>
          <w:i/>
          <w:iCs/>
          <w:color w:val="000000" w:themeColor="text1"/>
        </w:rPr>
        <w:t>Baker</w:t>
      </w:r>
      <w:r w:rsidRPr="00883454">
        <w:rPr>
          <w:rFonts w:ascii="Georgia" w:hAnsi="Georgia" w:cs="Times New Roman"/>
          <w:color w:val="000000" w:themeColor="text1"/>
        </w:rPr>
        <w:t xml:space="preserve"> ‘s</w:t>
      </w:r>
      <w:proofErr w:type="gramEnd"/>
      <w:r w:rsidRPr="00883454">
        <w:rPr>
          <w:rFonts w:ascii="Georgia" w:hAnsi="Georgia" w:cs="Times New Roman"/>
          <w:color w:val="000000" w:themeColor="text1"/>
        </w:rPr>
        <w:t xml:space="preserve"> examples of “how-to” treatises are instructive: “A treatise </w:t>
      </w:r>
      <w:bookmarkStart w:id="31" w:name="co_pp_sp_506_1042_1"/>
      <w:bookmarkEnd w:id="31"/>
      <w:r w:rsidRPr="00883454">
        <w:rPr>
          <w:rFonts w:ascii="Georgia" w:hAnsi="Georgia" w:cs="Times New Roman"/>
          <w:color w:val="000000" w:themeColor="text1"/>
        </w:rPr>
        <w:t xml:space="preserve">on ... the construction and use of ploughs, or watches, or churns[,] ... or on the mode of drawing lines to produce the effect of perspective” would likely list the steps necessary to perform the process it describes. </w:t>
      </w:r>
      <w:hyperlink r:id="rId59" w:anchor="co_pp_sp_780_102" w:history="1">
        <w:r w:rsidRPr="00883454">
          <w:rPr>
            <w:rFonts w:ascii="Georgia" w:hAnsi="Georgia" w:cs="Times New Roman"/>
            <w:color w:val="000000" w:themeColor="text1"/>
          </w:rPr>
          <w:t>101 U.S. at 102</w:t>
        </w:r>
      </w:hyperlink>
      <w:r w:rsidRPr="00883454">
        <w:rPr>
          <w:rFonts w:ascii="Georgia" w:hAnsi="Georgia" w:cs="Times New Roman"/>
          <w:color w:val="000000" w:themeColor="text1"/>
        </w:rPr>
        <w:t xml:space="preserve">. The watchmaking treatise’s author could not claim a copyright in the process of making a watch, however, by breaking down the process into multiple steps and labeling it a “compilation.” Recipes further illustrate the point: a cake recipe could be viewed as a “compilation” of carefully arranged and selected steps—which may, of course, reflect the personal preferences and tastes of the recipe’s author—yet the recipe would remain, in most instances, a process that is not eligible for copyright protection. </w:t>
      </w:r>
      <w:r w:rsidRPr="00883454">
        <w:rPr>
          <w:rFonts w:ascii="Georgia" w:hAnsi="Georgia" w:cs="Times New Roman"/>
          <w:i/>
          <w:iCs/>
          <w:color w:val="000000" w:themeColor="text1"/>
        </w:rPr>
        <w:t xml:space="preserve">See </w:t>
      </w:r>
      <w:hyperlink r:id="rId60" w:anchor="co_pp_sp_506_480" w:history="1">
        <w:r w:rsidRPr="00883454">
          <w:rPr>
            <w:rFonts w:ascii="Georgia" w:hAnsi="Georgia" w:cs="Times New Roman"/>
            <w:i/>
            <w:iCs/>
            <w:color w:val="000000" w:themeColor="text1"/>
          </w:rPr>
          <w:t>Meredith,</w:t>
        </w:r>
        <w:r w:rsidRPr="00883454">
          <w:rPr>
            <w:rFonts w:ascii="Georgia" w:hAnsi="Georgia" w:cs="Times New Roman"/>
            <w:color w:val="000000" w:themeColor="text1"/>
          </w:rPr>
          <w:t xml:space="preserve"> 88 F.3d at 480–81</w:t>
        </w:r>
      </w:hyperlink>
      <w:r w:rsidRPr="00883454">
        <w:rPr>
          <w:rFonts w:ascii="Georgia" w:hAnsi="Georgia" w:cs="Times New Roman"/>
          <w:color w:val="000000" w:themeColor="text1"/>
        </w:rPr>
        <w:t>. Likewise, Choudhury cannot obtain copyright protection for the Sequence as a compilation by separately identifying the poses and breathing exercises it contains.</w:t>
      </w:r>
    </w:p>
    <w:p w:rsidR="00665CB9" w:rsidRPr="00883454" w:rsidRDefault="00665CB9" w:rsidP="00883454">
      <w:pPr>
        <w:widowControl w:val="0"/>
        <w:autoSpaceDE w:val="0"/>
        <w:autoSpaceDN w:val="0"/>
        <w:adjustRightInd w:val="0"/>
        <w:spacing w:after="0" w:line="240" w:lineRule="auto"/>
        <w:ind w:firstLine="720"/>
        <w:jc w:val="both"/>
        <w:rPr>
          <w:rFonts w:ascii="Georgia" w:hAnsi="Georgia" w:cs="Times New Roman"/>
          <w:color w:val="000000" w:themeColor="text1"/>
        </w:rPr>
      </w:pPr>
      <w:r w:rsidRPr="00883454">
        <w:rPr>
          <w:rFonts w:ascii="Georgia" w:hAnsi="Georgia" w:cs="Times New Roman"/>
          <w:color w:val="000000" w:themeColor="text1"/>
        </w:rPr>
        <w:t> </w:t>
      </w:r>
    </w:p>
    <w:p w:rsidR="00665CB9" w:rsidRPr="00883454" w:rsidRDefault="00665CB9" w:rsidP="00883454">
      <w:pPr>
        <w:widowControl w:val="0"/>
        <w:autoSpaceDE w:val="0"/>
        <w:autoSpaceDN w:val="0"/>
        <w:adjustRightInd w:val="0"/>
        <w:spacing w:after="0" w:line="240" w:lineRule="auto"/>
        <w:ind w:firstLine="720"/>
        <w:jc w:val="both"/>
        <w:rPr>
          <w:rFonts w:ascii="Georgia" w:hAnsi="Georgia" w:cs="Times New Roman"/>
          <w:color w:val="000000" w:themeColor="text1"/>
        </w:rPr>
      </w:pPr>
      <w:r w:rsidRPr="00883454">
        <w:rPr>
          <w:rFonts w:ascii="Georgia" w:hAnsi="Georgia" w:cs="Times New Roman"/>
          <w:color w:val="000000" w:themeColor="text1"/>
        </w:rPr>
        <w:t xml:space="preserve">Moreover, according to Choudhury himself, the medical and functional considerations at the heart of the Sequence compel the very selection and arrangement of poses and breathing exercises for which he claims copyright protection. According to </w:t>
      </w:r>
      <w:r w:rsidRPr="00883454">
        <w:rPr>
          <w:rFonts w:ascii="Georgia" w:hAnsi="Georgia" w:cs="Times New Roman"/>
          <w:i/>
          <w:iCs/>
          <w:color w:val="000000" w:themeColor="text1"/>
        </w:rPr>
        <w:t>Bikram’s Beginning Yoga Class,</w:t>
      </w:r>
      <w:r w:rsidRPr="00883454">
        <w:rPr>
          <w:rFonts w:ascii="Georgia" w:hAnsi="Georgia" w:cs="Times New Roman"/>
          <w:color w:val="000000" w:themeColor="text1"/>
        </w:rPr>
        <w:t xml:space="preserve"> the “strict order” of the poses “is designed to scientifically warm and stretch muscles, ligaments, and tendons in the order in which they should be stretched.” </w:t>
      </w:r>
      <w:r w:rsidRPr="00883454">
        <w:rPr>
          <w:rFonts w:ascii="Georgia" w:hAnsi="Georgia" w:cs="Times New Roman"/>
          <w:i/>
          <w:iCs/>
          <w:color w:val="000000" w:themeColor="text1"/>
        </w:rPr>
        <w:t>Bikram’s Beginning Yoga Class, supra,</w:t>
      </w:r>
      <w:r w:rsidRPr="00883454">
        <w:rPr>
          <w:rFonts w:ascii="Georgia" w:hAnsi="Georgia" w:cs="Times New Roman"/>
          <w:color w:val="000000" w:themeColor="text1"/>
        </w:rPr>
        <w:t xml:space="preserve"> at xi. Read in the light most favorable to Choudhury, the record demonstrates that the overarching reason for the organization of the poses and breathing exercises in the Sequence is to further the basic goals of the method: to attain “[p]roper weight, muscle tone, glowing complexion, boundless energy, vibrant good health, and a sense of well-being.” </w:t>
      </w:r>
      <w:r w:rsidRPr="00883454">
        <w:rPr>
          <w:rFonts w:ascii="Georgia" w:hAnsi="Georgia" w:cs="Times New Roman"/>
          <w:i/>
          <w:iCs/>
          <w:color w:val="000000" w:themeColor="text1"/>
        </w:rPr>
        <w:t>Id.</w:t>
      </w:r>
      <w:r w:rsidRPr="00883454">
        <w:rPr>
          <w:rFonts w:ascii="Georgia" w:hAnsi="Georgia" w:cs="Times New Roman"/>
          <w:color w:val="000000" w:themeColor="text1"/>
        </w:rPr>
        <w:t xml:space="preserve"> The Sequence’s composition renders it more effective as a process or system, but not any more suitable for copyright protection as an original work of authorship.</w:t>
      </w:r>
    </w:p>
    <w:p w:rsidR="00665CB9" w:rsidRPr="00883454" w:rsidRDefault="00665CB9" w:rsidP="00883454">
      <w:pPr>
        <w:widowControl w:val="0"/>
        <w:autoSpaceDE w:val="0"/>
        <w:autoSpaceDN w:val="0"/>
        <w:adjustRightInd w:val="0"/>
        <w:spacing w:after="0" w:line="240" w:lineRule="auto"/>
        <w:ind w:firstLine="720"/>
        <w:jc w:val="both"/>
        <w:rPr>
          <w:rFonts w:ascii="Georgia" w:hAnsi="Georgia" w:cs="Times New Roman"/>
          <w:color w:val="000000" w:themeColor="text1"/>
        </w:rPr>
      </w:pPr>
      <w:r w:rsidRPr="00883454">
        <w:rPr>
          <w:rFonts w:ascii="Georgia" w:hAnsi="Georgia" w:cs="Times New Roman"/>
          <w:color w:val="000000" w:themeColor="text1"/>
        </w:rPr>
        <w:t> </w:t>
      </w:r>
    </w:p>
    <w:p w:rsidR="00665CB9" w:rsidRPr="00883454" w:rsidRDefault="00665CB9" w:rsidP="00883454">
      <w:pPr>
        <w:widowControl w:val="0"/>
        <w:autoSpaceDE w:val="0"/>
        <w:autoSpaceDN w:val="0"/>
        <w:adjustRightInd w:val="0"/>
        <w:spacing w:after="0" w:line="240" w:lineRule="auto"/>
        <w:ind w:firstLine="720"/>
        <w:jc w:val="both"/>
        <w:rPr>
          <w:rFonts w:ascii="Georgia" w:hAnsi="Georgia" w:cs="Times New Roman"/>
          <w:color w:val="000000" w:themeColor="text1"/>
        </w:rPr>
      </w:pPr>
      <w:r w:rsidRPr="00883454">
        <w:rPr>
          <w:rFonts w:ascii="Georgia" w:hAnsi="Georgia" w:cs="Times New Roman"/>
          <w:color w:val="000000" w:themeColor="text1"/>
        </w:rPr>
        <w:t xml:space="preserve">It makes no difference that similar results could be achieved through a different organization of yoga poses and breathing exercises. Choudhury argues that he could have chosen from “hundreds of postures” and “countless arrangements of these postures” in developing the Sequence. But the possibility of attaining a particular end through multiple different methods does not render the </w:t>
      </w:r>
      <w:proofErr w:type="spellStart"/>
      <w:r w:rsidRPr="00883454">
        <w:rPr>
          <w:rFonts w:ascii="Georgia" w:hAnsi="Georgia" w:cs="Times New Roman"/>
          <w:color w:val="000000" w:themeColor="text1"/>
        </w:rPr>
        <w:t>uncopyrightable</w:t>
      </w:r>
      <w:proofErr w:type="spellEnd"/>
      <w:r w:rsidRPr="00883454">
        <w:rPr>
          <w:rFonts w:ascii="Georgia" w:hAnsi="Georgia" w:cs="Times New Roman"/>
          <w:color w:val="000000" w:themeColor="text1"/>
        </w:rPr>
        <w:t xml:space="preserve"> a proper subject of copyright. </w:t>
      </w:r>
      <w:r w:rsidRPr="00883454">
        <w:rPr>
          <w:rFonts w:ascii="Georgia" w:hAnsi="Georgia" w:cs="Times New Roman"/>
          <w:i/>
          <w:iCs/>
          <w:color w:val="000000" w:themeColor="text1"/>
        </w:rPr>
        <w:t xml:space="preserve">See </w:t>
      </w:r>
      <w:hyperlink r:id="rId61" w:anchor="co_pp_sp_350_1443" w:history="1">
        <w:r w:rsidRPr="00883454">
          <w:rPr>
            <w:rFonts w:ascii="Georgia" w:hAnsi="Georgia" w:cs="Times New Roman"/>
            <w:i/>
            <w:iCs/>
            <w:color w:val="000000" w:themeColor="text1"/>
          </w:rPr>
          <w:t xml:space="preserve">BellSouth Advert. &amp; </w:t>
        </w:r>
        <w:proofErr w:type="spellStart"/>
        <w:r w:rsidRPr="00883454">
          <w:rPr>
            <w:rFonts w:ascii="Georgia" w:hAnsi="Georgia" w:cs="Times New Roman"/>
            <w:i/>
            <w:iCs/>
            <w:color w:val="000000" w:themeColor="text1"/>
          </w:rPr>
          <w:t>Publ’g</w:t>
        </w:r>
        <w:proofErr w:type="spellEnd"/>
        <w:r w:rsidRPr="00883454">
          <w:rPr>
            <w:rFonts w:ascii="Georgia" w:hAnsi="Georgia" w:cs="Times New Roman"/>
            <w:i/>
            <w:iCs/>
            <w:color w:val="000000" w:themeColor="text1"/>
          </w:rPr>
          <w:t xml:space="preserve"> Corp. v. Donnelley Info. </w:t>
        </w:r>
        <w:proofErr w:type="spellStart"/>
        <w:r w:rsidRPr="00883454">
          <w:rPr>
            <w:rFonts w:ascii="Georgia" w:hAnsi="Georgia" w:cs="Times New Roman"/>
            <w:i/>
            <w:iCs/>
            <w:color w:val="000000" w:themeColor="text1"/>
          </w:rPr>
          <w:t>Publ’g</w:t>
        </w:r>
        <w:proofErr w:type="spellEnd"/>
        <w:r w:rsidRPr="00883454">
          <w:rPr>
            <w:rFonts w:ascii="Georgia" w:hAnsi="Georgia" w:cs="Times New Roman"/>
            <w:i/>
            <w:iCs/>
            <w:color w:val="000000" w:themeColor="text1"/>
          </w:rPr>
          <w:t>, Inc.,</w:t>
        </w:r>
        <w:r w:rsidRPr="00883454">
          <w:rPr>
            <w:rFonts w:ascii="Georgia" w:hAnsi="Georgia" w:cs="Times New Roman"/>
            <w:color w:val="000000" w:themeColor="text1"/>
          </w:rPr>
          <w:t xml:space="preserve"> 999 F.2d 1436, 1443 (11th Cir.1993)</w:t>
        </w:r>
      </w:hyperlink>
      <w:r w:rsidRPr="00883454">
        <w:rPr>
          <w:rFonts w:ascii="Georgia" w:hAnsi="Georgia" w:cs="Times New Roman"/>
          <w:color w:val="000000" w:themeColor="text1"/>
        </w:rPr>
        <w:t xml:space="preserve"> (“The relevant inquiry [under </w:t>
      </w:r>
      <w:r w:rsidRPr="00883454">
        <w:rPr>
          <w:rFonts w:ascii="Georgia" w:hAnsi="Georgia" w:cs="Times New Roman"/>
          <w:i/>
          <w:iCs/>
          <w:color w:val="000000" w:themeColor="text1"/>
        </w:rPr>
        <w:t>Feist</w:t>
      </w:r>
      <w:r w:rsidRPr="00883454">
        <w:rPr>
          <w:rFonts w:ascii="Georgia" w:hAnsi="Georgia" w:cs="Times New Roman"/>
          <w:color w:val="000000" w:themeColor="text1"/>
        </w:rPr>
        <w:t xml:space="preserve">] is not whether there is some imaginable, although manifestly less useful, method of arranging business telephone listings.”); </w:t>
      </w:r>
      <w:r w:rsidRPr="00883454">
        <w:rPr>
          <w:rFonts w:ascii="Georgia" w:hAnsi="Georgia" w:cs="Times New Roman"/>
          <w:i/>
          <w:iCs/>
          <w:color w:val="000000" w:themeColor="text1"/>
        </w:rPr>
        <w:t xml:space="preserve">see also </w:t>
      </w:r>
      <w:hyperlink r:id="rId62" w:anchor="co_pp_sp_506_711" w:history="1">
        <w:r w:rsidRPr="00883454">
          <w:rPr>
            <w:rFonts w:ascii="Georgia" w:hAnsi="Georgia" w:cs="Times New Roman"/>
            <w:i/>
            <w:iCs/>
            <w:color w:val="000000" w:themeColor="text1"/>
          </w:rPr>
          <w:t xml:space="preserve">ATC </w:t>
        </w:r>
        <w:proofErr w:type="spellStart"/>
        <w:r w:rsidRPr="00883454">
          <w:rPr>
            <w:rFonts w:ascii="Georgia" w:hAnsi="Georgia" w:cs="Times New Roman"/>
            <w:i/>
            <w:iCs/>
            <w:color w:val="000000" w:themeColor="text1"/>
          </w:rPr>
          <w:t>Distrib</w:t>
        </w:r>
        <w:proofErr w:type="spellEnd"/>
        <w:r w:rsidRPr="00883454">
          <w:rPr>
            <w:rFonts w:ascii="Georgia" w:hAnsi="Georgia" w:cs="Times New Roman"/>
            <w:i/>
            <w:iCs/>
            <w:color w:val="000000" w:themeColor="text1"/>
          </w:rPr>
          <w:t>. Grp., Inc. v. Whatever It Takes Transmissions &amp; Parts, Inc.,</w:t>
        </w:r>
        <w:r w:rsidRPr="00883454">
          <w:rPr>
            <w:rFonts w:ascii="Georgia" w:hAnsi="Georgia" w:cs="Times New Roman"/>
            <w:color w:val="000000" w:themeColor="text1"/>
          </w:rPr>
          <w:t xml:space="preserve"> 402 F.3d 700, 711–12 (6th Cir.2005)</w:t>
        </w:r>
      </w:hyperlink>
      <w:r w:rsidRPr="00883454">
        <w:rPr>
          <w:rFonts w:ascii="Georgia" w:hAnsi="Georgia" w:cs="Times New Roman"/>
          <w:color w:val="000000" w:themeColor="text1"/>
        </w:rPr>
        <w:t xml:space="preserve"> (“To be sure, [the publisher of a catalog describing a transmission parts numbering system] could have arranged the parts information </w:t>
      </w:r>
      <w:r w:rsidRPr="00883454">
        <w:rPr>
          <w:rFonts w:ascii="Georgia" w:hAnsi="Georgia" w:cs="Times New Roman"/>
          <w:color w:val="000000" w:themeColor="text1"/>
        </w:rPr>
        <w:lastRenderedPageBreak/>
        <w:t>in other ways that were potentially less clear or useful, but this fact alone is insufficient to demonstrate the creativity necessary for copyright protection.”). Though it may be one of many possible yoga sequences capable of attaining similar results, the Sequence is nevertheless a process and is therefore ineligible for copyright protection.</w:t>
      </w:r>
      <w:bookmarkStart w:id="32" w:name="co_footnoteReference_B010102037334947_ID"/>
      <w:bookmarkEnd w:id="32"/>
      <w:r w:rsidR="00106987" w:rsidRPr="00883454">
        <w:rPr>
          <w:rStyle w:val="FootnoteReference"/>
          <w:rFonts w:ascii="Georgia" w:hAnsi="Georgia" w:cs="Times New Roman"/>
          <w:color w:val="000000" w:themeColor="text1"/>
        </w:rPr>
        <w:footnoteReference w:customMarkFollows="1" w:id="4"/>
        <w:t>10</w:t>
      </w:r>
      <w:r w:rsidRPr="00883454">
        <w:rPr>
          <w:rFonts w:ascii="Georgia" w:hAnsi="Georgia" w:cs="Times New Roman"/>
          <w:color w:val="000000" w:themeColor="text1"/>
        </w:rPr>
        <w:t> </w:t>
      </w:r>
    </w:p>
    <w:p w:rsidR="00665CB9" w:rsidRPr="00883454" w:rsidRDefault="00665CB9" w:rsidP="00883454">
      <w:pPr>
        <w:widowControl w:val="0"/>
        <w:autoSpaceDE w:val="0"/>
        <w:autoSpaceDN w:val="0"/>
        <w:adjustRightInd w:val="0"/>
        <w:spacing w:before="200" w:after="0" w:line="240" w:lineRule="auto"/>
        <w:ind w:firstLine="720"/>
        <w:rPr>
          <w:rFonts w:ascii="Georgia" w:hAnsi="Georgia" w:cs="Times New Roman"/>
          <w:b/>
          <w:bCs/>
          <w:i/>
          <w:iCs/>
          <w:color w:val="000000" w:themeColor="text1"/>
        </w:rPr>
      </w:pPr>
      <w:bookmarkStart w:id="33" w:name="co_footnote_B010102037334947_1"/>
      <w:bookmarkStart w:id="34" w:name="co_anchor_I81e1a2b49f3111e598dc8b09b4f04"/>
      <w:bookmarkStart w:id="35" w:name="co_pp_sp_506_1043_1"/>
      <w:bookmarkEnd w:id="33"/>
      <w:bookmarkEnd w:id="34"/>
      <w:bookmarkEnd w:id="35"/>
      <w:r w:rsidRPr="00883454">
        <w:rPr>
          <w:rFonts w:ascii="Georgia" w:hAnsi="Georgia" w:cs="Times New Roman"/>
          <w:b/>
          <w:bCs/>
          <w:i/>
          <w:iCs/>
          <w:color w:val="000000" w:themeColor="text1"/>
        </w:rPr>
        <w:t>C. The Sequence Is Not a Copyrightable Choreographic Work.</w:t>
      </w:r>
    </w:p>
    <w:p w:rsidR="00883454" w:rsidRDefault="00883454" w:rsidP="00883454">
      <w:pPr>
        <w:widowControl w:val="0"/>
        <w:autoSpaceDE w:val="0"/>
        <w:autoSpaceDN w:val="0"/>
        <w:adjustRightInd w:val="0"/>
        <w:spacing w:after="0" w:line="240" w:lineRule="auto"/>
        <w:ind w:firstLine="720"/>
        <w:jc w:val="both"/>
        <w:rPr>
          <w:rFonts w:ascii="Georgia" w:hAnsi="Georgia" w:cs="Times New Roman"/>
          <w:color w:val="000000" w:themeColor="text1"/>
        </w:rPr>
      </w:pPr>
    </w:p>
    <w:p w:rsidR="00665CB9" w:rsidRPr="00883454" w:rsidRDefault="00665CB9" w:rsidP="00883454">
      <w:pPr>
        <w:widowControl w:val="0"/>
        <w:autoSpaceDE w:val="0"/>
        <w:autoSpaceDN w:val="0"/>
        <w:adjustRightInd w:val="0"/>
        <w:spacing w:after="0" w:line="240" w:lineRule="auto"/>
        <w:ind w:firstLine="720"/>
        <w:jc w:val="both"/>
        <w:rPr>
          <w:rFonts w:ascii="Georgia" w:hAnsi="Georgia" w:cs="Times New Roman"/>
          <w:color w:val="000000" w:themeColor="text1"/>
        </w:rPr>
      </w:pPr>
      <w:r w:rsidRPr="00883454">
        <w:rPr>
          <w:rFonts w:ascii="Georgia" w:hAnsi="Georgia" w:cs="Times New Roman"/>
          <w:color w:val="000000" w:themeColor="text1"/>
        </w:rPr>
        <w:t>The district court properly rejected Choudhury’s argument that the Sequence is entitled to copyright protection as a choreographic work.</w:t>
      </w:r>
      <w:bookmarkStart w:id="36" w:name="co_footnoteReference_B011112037334947_ID"/>
      <w:bookmarkEnd w:id="36"/>
      <w:r w:rsidR="00AF11F9" w:rsidRPr="00883454">
        <w:rPr>
          <w:rStyle w:val="FootnoteReference"/>
          <w:rFonts w:ascii="Georgia" w:hAnsi="Georgia" w:cs="Times New Roman"/>
          <w:color w:val="000000" w:themeColor="text1"/>
        </w:rPr>
        <w:footnoteReference w:customMarkFollows="1" w:id="5"/>
        <w:t>11</w:t>
      </w:r>
      <w:r w:rsidRPr="00883454">
        <w:rPr>
          <w:rFonts w:ascii="Georgia" w:hAnsi="Georgia" w:cs="Times New Roman"/>
          <w:color w:val="000000" w:themeColor="text1"/>
        </w:rPr>
        <w:t xml:space="preserve"> The 1976 Copyright Act extended protection to “pantomimes and choreographic works,” which were previously not copyrightable. </w:t>
      </w:r>
      <w:hyperlink r:id="rId63" w:history="1">
        <w:proofErr w:type="spellStart"/>
        <w:r w:rsidRPr="00883454">
          <w:rPr>
            <w:rFonts w:ascii="Georgia" w:hAnsi="Georgia" w:cs="Times New Roman"/>
            <w:color w:val="000000" w:themeColor="text1"/>
          </w:rPr>
          <w:t>Pub.L</w:t>
        </w:r>
        <w:proofErr w:type="spellEnd"/>
        <w:r w:rsidRPr="00883454">
          <w:rPr>
            <w:rFonts w:ascii="Georgia" w:hAnsi="Georgia" w:cs="Times New Roman"/>
            <w:color w:val="000000" w:themeColor="text1"/>
          </w:rPr>
          <w:t>. No. 94–553, 90 Stat. 2541,</w:t>
        </w:r>
      </w:hyperlink>
      <w:r w:rsidRPr="00883454">
        <w:rPr>
          <w:rFonts w:ascii="Georgia" w:hAnsi="Georgia" w:cs="Times New Roman"/>
          <w:color w:val="000000" w:themeColor="text1"/>
        </w:rPr>
        <w:t xml:space="preserve"> 2545 (codified at </w:t>
      </w:r>
      <w:hyperlink r:id="rId64" w:anchor="co_pp_d40e000072291" w:history="1">
        <w:r w:rsidRPr="00883454">
          <w:rPr>
            <w:rFonts w:ascii="Georgia" w:hAnsi="Georgia" w:cs="Times New Roman"/>
            <w:color w:val="000000" w:themeColor="text1"/>
          </w:rPr>
          <w:t>17 U.S.C. § 102(a</w:t>
        </w:r>
        <w:proofErr w:type="gramStart"/>
        <w:r w:rsidRPr="00883454">
          <w:rPr>
            <w:rFonts w:ascii="Georgia" w:hAnsi="Georgia" w:cs="Times New Roman"/>
            <w:color w:val="000000" w:themeColor="text1"/>
          </w:rPr>
          <w:t>)(</w:t>
        </w:r>
        <w:proofErr w:type="gramEnd"/>
        <w:r w:rsidRPr="00883454">
          <w:rPr>
            <w:rFonts w:ascii="Georgia" w:hAnsi="Georgia" w:cs="Times New Roman"/>
            <w:color w:val="000000" w:themeColor="text1"/>
          </w:rPr>
          <w:t>4)</w:t>
        </w:r>
      </w:hyperlink>
      <w:r w:rsidRPr="00883454">
        <w:rPr>
          <w:rFonts w:ascii="Georgia" w:hAnsi="Georgia" w:cs="Times New Roman"/>
          <w:color w:val="000000" w:themeColor="text1"/>
        </w:rPr>
        <w:t>). In 1986, the Second Circuit observed that “[e]</w:t>
      </w:r>
      <w:proofErr w:type="spellStart"/>
      <w:r w:rsidRPr="00883454">
        <w:rPr>
          <w:rFonts w:ascii="Georgia" w:hAnsi="Georgia" w:cs="Times New Roman"/>
          <w:color w:val="000000" w:themeColor="text1"/>
        </w:rPr>
        <w:t>xplicit</w:t>
      </w:r>
      <w:proofErr w:type="spellEnd"/>
      <w:r w:rsidRPr="00883454">
        <w:rPr>
          <w:rFonts w:ascii="Georgia" w:hAnsi="Georgia" w:cs="Times New Roman"/>
          <w:color w:val="000000" w:themeColor="text1"/>
        </w:rPr>
        <w:t xml:space="preserve"> federal copyright protection for choreography is a fairly recent development, and the scope of that protection is an uncharted area of the law.” </w:t>
      </w:r>
      <w:hyperlink r:id="rId65" w:anchor="co_pp_sp_350_160" w:history="1">
        <w:r w:rsidRPr="00883454">
          <w:rPr>
            <w:rFonts w:ascii="Georgia" w:hAnsi="Georgia" w:cs="Times New Roman"/>
            <w:i/>
            <w:iCs/>
            <w:color w:val="000000" w:themeColor="text1"/>
          </w:rPr>
          <w:t>Horgan v. Macmillan, Inc.,</w:t>
        </w:r>
        <w:r w:rsidRPr="00883454">
          <w:rPr>
            <w:rFonts w:ascii="Georgia" w:hAnsi="Georgia" w:cs="Times New Roman"/>
            <w:color w:val="000000" w:themeColor="text1"/>
          </w:rPr>
          <w:t xml:space="preserve"> 789 F.2d 157, 160 (2d Cir.1986)</w:t>
        </w:r>
      </w:hyperlink>
      <w:r w:rsidRPr="00883454">
        <w:rPr>
          <w:rFonts w:ascii="Georgia" w:hAnsi="Georgia" w:cs="Times New Roman"/>
          <w:color w:val="000000" w:themeColor="text1"/>
        </w:rPr>
        <w:t>. This remains true today.</w:t>
      </w:r>
    </w:p>
    <w:p w:rsidR="00665CB9" w:rsidRPr="00883454" w:rsidRDefault="00665CB9" w:rsidP="00883454">
      <w:pPr>
        <w:widowControl w:val="0"/>
        <w:autoSpaceDE w:val="0"/>
        <w:autoSpaceDN w:val="0"/>
        <w:adjustRightInd w:val="0"/>
        <w:spacing w:after="0" w:line="240" w:lineRule="auto"/>
        <w:ind w:firstLine="720"/>
        <w:jc w:val="both"/>
        <w:rPr>
          <w:rFonts w:ascii="Georgia" w:hAnsi="Georgia" w:cs="Times New Roman"/>
          <w:color w:val="000000" w:themeColor="text1"/>
        </w:rPr>
      </w:pPr>
      <w:r w:rsidRPr="00883454">
        <w:rPr>
          <w:rFonts w:ascii="Georgia" w:hAnsi="Georgia" w:cs="Times New Roman"/>
          <w:color w:val="000000" w:themeColor="text1"/>
        </w:rPr>
        <w:t> </w:t>
      </w:r>
    </w:p>
    <w:p w:rsidR="00665CB9" w:rsidRPr="00883454" w:rsidRDefault="00665CB9" w:rsidP="00883454">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37" w:name="co_footnote_B011112037334947_1"/>
      <w:bookmarkEnd w:id="37"/>
      <w:r w:rsidRPr="00883454">
        <w:rPr>
          <w:rFonts w:ascii="Georgia" w:hAnsi="Georgia" w:cs="Times New Roman"/>
          <w:color w:val="000000" w:themeColor="text1"/>
        </w:rPr>
        <w:t xml:space="preserve">The parties debate the meaning of the term “choreography,” which we have not yet defined in the copyright context. Nor did Congress define the term “choreographic </w:t>
      </w:r>
      <w:proofErr w:type="gramStart"/>
      <w:r w:rsidRPr="00883454">
        <w:rPr>
          <w:rFonts w:ascii="Georgia" w:hAnsi="Georgia" w:cs="Times New Roman"/>
          <w:color w:val="000000" w:themeColor="text1"/>
        </w:rPr>
        <w:t>work[</w:t>
      </w:r>
      <w:proofErr w:type="gramEnd"/>
      <w:r w:rsidRPr="00883454">
        <w:rPr>
          <w:rFonts w:ascii="Georgia" w:hAnsi="Georgia" w:cs="Times New Roman"/>
          <w:color w:val="000000" w:themeColor="text1"/>
        </w:rPr>
        <w:t xml:space="preserve"> ],” apparently because its meaning was “fairly settled.” </w:t>
      </w:r>
      <w:hyperlink r:id="rId66" w:history="1">
        <w:proofErr w:type="spellStart"/>
        <w:r w:rsidRPr="00883454">
          <w:rPr>
            <w:rFonts w:ascii="Georgia" w:hAnsi="Georgia" w:cs="Times New Roman"/>
            <w:color w:val="000000" w:themeColor="text1"/>
          </w:rPr>
          <w:t>H.R.Rep</w:t>
        </w:r>
        <w:proofErr w:type="spellEnd"/>
        <w:r w:rsidRPr="00883454">
          <w:rPr>
            <w:rFonts w:ascii="Georgia" w:hAnsi="Georgia" w:cs="Times New Roman"/>
            <w:color w:val="000000" w:themeColor="text1"/>
          </w:rPr>
          <w:t>. No. 94–1476, at 53</w:t>
        </w:r>
      </w:hyperlink>
      <w:r w:rsidRPr="00883454">
        <w:rPr>
          <w:rFonts w:ascii="Georgia" w:hAnsi="Georgia" w:cs="Times New Roman"/>
          <w:color w:val="000000" w:themeColor="text1"/>
        </w:rPr>
        <w:t xml:space="preserve"> (1976). The legislative history does explain, however, that it is not “necessary to specify that ‘choreographic works’ do not include social dance steps and simple routines.” </w:t>
      </w:r>
      <w:r w:rsidRPr="00883454">
        <w:rPr>
          <w:rFonts w:ascii="Georgia" w:hAnsi="Georgia" w:cs="Times New Roman"/>
          <w:i/>
          <w:iCs/>
          <w:color w:val="000000" w:themeColor="text1"/>
        </w:rPr>
        <w:t>Id.</w:t>
      </w:r>
      <w:r w:rsidRPr="00883454">
        <w:rPr>
          <w:rFonts w:ascii="Georgia" w:hAnsi="Georgia" w:cs="Times New Roman"/>
          <w:color w:val="000000" w:themeColor="text1"/>
        </w:rPr>
        <w:t xml:space="preserve"> at 53–54. The Second Circuit has relied on the Compendium of Copyright Office Practices as persuasive authority and </w:t>
      </w:r>
      <w:r w:rsidRPr="00883454">
        <w:rPr>
          <w:rFonts w:ascii="Georgia" w:hAnsi="Georgia" w:cs="Times New Roman"/>
          <w:color w:val="000000" w:themeColor="text1"/>
        </w:rPr>
        <w:lastRenderedPageBreak/>
        <w:t>concluded that “[c]</w:t>
      </w:r>
      <w:proofErr w:type="spellStart"/>
      <w:r w:rsidRPr="00883454">
        <w:rPr>
          <w:rFonts w:ascii="Georgia" w:hAnsi="Georgia" w:cs="Times New Roman"/>
          <w:color w:val="000000" w:themeColor="text1"/>
        </w:rPr>
        <w:t>horeography</w:t>
      </w:r>
      <w:proofErr w:type="spellEnd"/>
      <w:r w:rsidRPr="00883454">
        <w:rPr>
          <w:rFonts w:ascii="Georgia" w:hAnsi="Georgia" w:cs="Times New Roman"/>
          <w:color w:val="000000" w:themeColor="text1"/>
        </w:rPr>
        <w:t xml:space="preserve"> represents a related series of dance movements and patterns organized into a coherent whole.” </w:t>
      </w:r>
      <w:hyperlink r:id="rId67" w:anchor="co_pp_sp_350_161" w:history="1">
        <w:r w:rsidRPr="00883454">
          <w:rPr>
            <w:rFonts w:ascii="Georgia" w:hAnsi="Georgia" w:cs="Times New Roman"/>
            <w:i/>
            <w:iCs/>
            <w:color w:val="000000" w:themeColor="text1"/>
          </w:rPr>
          <w:t>Horgan,</w:t>
        </w:r>
        <w:r w:rsidRPr="00883454">
          <w:rPr>
            <w:rFonts w:ascii="Georgia" w:hAnsi="Georgia" w:cs="Times New Roman"/>
            <w:color w:val="000000" w:themeColor="text1"/>
          </w:rPr>
          <w:t xml:space="preserve"> 789 F.2d at 161</w:t>
        </w:r>
      </w:hyperlink>
      <w:r w:rsidRPr="00883454">
        <w:rPr>
          <w:rFonts w:ascii="Georgia" w:hAnsi="Georgia" w:cs="Times New Roman"/>
          <w:color w:val="000000" w:themeColor="text1"/>
        </w:rPr>
        <w:t xml:space="preserve"> (quoting U.S. Copyright Office, </w:t>
      </w:r>
      <w:r w:rsidRPr="00883454">
        <w:rPr>
          <w:rFonts w:ascii="Georgia" w:hAnsi="Georgia" w:cs="Times New Roman"/>
          <w:i/>
          <w:iCs/>
          <w:color w:val="000000" w:themeColor="text1"/>
        </w:rPr>
        <w:t>Compendium II: Compendium of Copyright Office Practices</w:t>
      </w:r>
      <w:r w:rsidRPr="00883454">
        <w:rPr>
          <w:rFonts w:ascii="Georgia" w:hAnsi="Georgia" w:cs="Times New Roman"/>
          <w:color w:val="000000" w:themeColor="text1"/>
        </w:rPr>
        <w:t xml:space="preserve"> § 450.03(a) (1984)). The </w:t>
      </w:r>
      <w:r w:rsidRPr="00883454">
        <w:rPr>
          <w:rFonts w:ascii="Georgia" w:hAnsi="Georgia" w:cs="Times New Roman"/>
          <w:i/>
          <w:iCs/>
          <w:color w:val="000000" w:themeColor="text1"/>
        </w:rPr>
        <w:t>Compendium II</w:t>
      </w:r>
      <w:r w:rsidRPr="00883454">
        <w:rPr>
          <w:rFonts w:ascii="Georgia" w:hAnsi="Georgia" w:cs="Times New Roman"/>
          <w:color w:val="000000" w:themeColor="text1"/>
        </w:rPr>
        <w:t xml:space="preserve"> defines “dance” as “static and kinetic successions of bodily movement in certain rhythmic and spatial relationships.” </w:t>
      </w:r>
      <w:r w:rsidRPr="00883454">
        <w:rPr>
          <w:rFonts w:ascii="Georgia" w:hAnsi="Georgia" w:cs="Times New Roman"/>
          <w:i/>
          <w:iCs/>
          <w:color w:val="000000" w:themeColor="text1"/>
        </w:rPr>
        <w:t>Compendium II,</w:t>
      </w:r>
      <w:r w:rsidRPr="00883454">
        <w:rPr>
          <w:rFonts w:ascii="Georgia" w:hAnsi="Georgia" w:cs="Times New Roman"/>
          <w:color w:val="000000" w:themeColor="text1"/>
        </w:rPr>
        <w:t xml:space="preserve"> § 450.01.</w:t>
      </w:r>
      <w:bookmarkStart w:id="38" w:name="co_footnoteReference_B012122037334947_ID"/>
      <w:bookmarkEnd w:id="38"/>
      <w:r w:rsidR="00AF11F9" w:rsidRPr="00883454">
        <w:rPr>
          <w:rStyle w:val="FootnoteReference"/>
          <w:rFonts w:ascii="Georgia" w:hAnsi="Georgia" w:cs="Times New Roman"/>
          <w:color w:val="000000" w:themeColor="text1"/>
        </w:rPr>
        <w:footnoteReference w:customMarkFollows="1" w:id="6"/>
        <w:t>12</w:t>
      </w:r>
      <w:hyperlink w:anchor="co_footnote_B012122037334947_1" w:history="1">
        <w:r w:rsidRPr="00883454">
          <w:rPr>
            <w:rFonts w:ascii="Georgia" w:hAnsi="Georgia" w:cs="Times New Roman"/>
            <w:color w:val="000000" w:themeColor="text1"/>
            <w:vertAlign w:val="superscript"/>
          </w:rPr>
          <w:t>12</w:t>
        </w:r>
      </w:hyperlink>
      <w:r w:rsidRPr="00883454">
        <w:rPr>
          <w:rFonts w:ascii="Georgia" w:hAnsi="Georgia" w:cs="Times New Roman"/>
          <w:color w:val="000000" w:themeColor="text1"/>
        </w:rPr>
        <w:t xml:space="preserve"> The “dance movements,” according to the </w:t>
      </w:r>
      <w:r w:rsidRPr="00883454">
        <w:rPr>
          <w:rFonts w:ascii="Georgia" w:hAnsi="Georgia" w:cs="Times New Roman"/>
          <w:i/>
          <w:iCs/>
          <w:color w:val="000000" w:themeColor="text1"/>
        </w:rPr>
        <w:t>Compendium II,</w:t>
      </w:r>
      <w:r w:rsidRPr="00883454">
        <w:rPr>
          <w:rFonts w:ascii="Georgia" w:hAnsi="Georgia" w:cs="Times New Roman"/>
          <w:color w:val="000000" w:themeColor="text1"/>
        </w:rPr>
        <w:t xml:space="preserve"> “must be more than mere exercises, such as ‘jumping jacks’ or walking steps.” </w:t>
      </w:r>
      <w:r w:rsidRPr="00883454">
        <w:rPr>
          <w:rFonts w:ascii="Georgia" w:hAnsi="Georgia" w:cs="Times New Roman"/>
          <w:i/>
          <w:iCs/>
          <w:color w:val="000000" w:themeColor="text1"/>
        </w:rPr>
        <w:t>Id.</w:t>
      </w:r>
      <w:r w:rsidRPr="00883454">
        <w:rPr>
          <w:rFonts w:ascii="Georgia" w:hAnsi="Georgia" w:cs="Times New Roman"/>
          <w:color w:val="000000" w:themeColor="text1"/>
        </w:rPr>
        <w:t xml:space="preserve"> § 450.03(a). Finally, the </w:t>
      </w:r>
      <w:r w:rsidRPr="00883454">
        <w:rPr>
          <w:rFonts w:ascii="Georgia" w:hAnsi="Georgia" w:cs="Times New Roman"/>
          <w:i/>
          <w:iCs/>
          <w:color w:val="000000" w:themeColor="text1"/>
        </w:rPr>
        <w:t>Compendium II</w:t>
      </w:r>
      <w:r w:rsidRPr="00883454">
        <w:rPr>
          <w:rFonts w:ascii="Georgia" w:hAnsi="Georgia" w:cs="Times New Roman"/>
          <w:color w:val="000000" w:themeColor="text1"/>
        </w:rPr>
        <w:t xml:space="preserve"> explains that choreography is “usually intended to be accompanied by music” but “need not tell a story” and need not be presented “before an audience.” </w:t>
      </w:r>
      <w:r w:rsidRPr="00883454">
        <w:rPr>
          <w:rFonts w:ascii="Georgia" w:hAnsi="Georgia" w:cs="Times New Roman"/>
          <w:i/>
          <w:iCs/>
          <w:color w:val="000000" w:themeColor="text1"/>
        </w:rPr>
        <w:t>Id.</w:t>
      </w:r>
      <w:r w:rsidRPr="00883454">
        <w:rPr>
          <w:rFonts w:ascii="Georgia" w:hAnsi="Georgia" w:cs="Times New Roman"/>
          <w:color w:val="000000" w:themeColor="text1"/>
        </w:rPr>
        <w:t xml:space="preserve"> §§ 450.01–450.02.</w:t>
      </w:r>
    </w:p>
    <w:p w:rsidR="00665CB9" w:rsidRPr="00883454" w:rsidRDefault="00665CB9" w:rsidP="00883454">
      <w:pPr>
        <w:widowControl w:val="0"/>
        <w:autoSpaceDE w:val="0"/>
        <w:autoSpaceDN w:val="0"/>
        <w:adjustRightInd w:val="0"/>
        <w:spacing w:after="0" w:line="240" w:lineRule="auto"/>
        <w:ind w:firstLine="720"/>
        <w:jc w:val="both"/>
        <w:rPr>
          <w:rFonts w:ascii="Georgia" w:hAnsi="Georgia" w:cs="Times New Roman"/>
          <w:color w:val="000000" w:themeColor="text1"/>
        </w:rPr>
      </w:pPr>
      <w:r w:rsidRPr="00883454">
        <w:rPr>
          <w:rFonts w:ascii="Georgia" w:hAnsi="Georgia" w:cs="Times New Roman"/>
          <w:color w:val="000000" w:themeColor="text1"/>
        </w:rPr>
        <w:t> </w:t>
      </w:r>
    </w:p>
    <w:p w:rsidR="00665CB9" w:rsidRPr="00883454" w:rsidRDefault="00665CB9" w:rsidP="00883454">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39" w:name="co_footnote_B012122037334947_1"/>
      <w:bookmarkEnd w:id="39"/>
      <w:r w:rsidRPr="00883454">
        <w:rPr>
          <w:rFonts w:ascii="Georgia" w:hAnsi="Georgia" w:cs="Times New Roman"/>
          <w:color w:val="000000" w:themeColor="text1"/>
        </w:rPr>
        <w:t xml:space="preserve">In this case, we need not decide whether to adopt the Copyright Office’s definition of “choreographic work” or fashion another on our own because all categories of works eligible for copyright protection, including choreographic works, are subject to the critical requirements and limitations of </w:t>
      </w:r>
      <w:hyperlink r:id="rId68" w:history="1">
        <w:r w:rsidRPr="00883454">
          <w:rPr>
            <w:rFonts w:ascii="Georgia" w:hAnsi="Georgia" w:cs="Times New Roman"/>
            <w:color w:val="000000" w:themeColor="text1"/>
          </w:rPr>
          <w:t>Section 102</w:t>
        </w:r>
      </w:hyperlink>
      <w:r w:rsidRPr="00883454">
        <w:rPr>
          <w:rFonts w:ascii="Georgia" w:hAnsi="Georgia" w:cs="Times New Roman"/>
          <w:color w:val="000000" w:themeColor="text1"/>
        </w:rPr>
        <w:t xml:space="preserve">. The beauty of this section is that it allows for the possibility that the term “original work of authorship” may, as </w:t>
      </w:r>
      <w:bookmarkStart w:id="40" w:name="co_pp_sp_506_1044_1"/>
      <w:bookmarkEnd w:id="40"/>
      <w:r w:rsidRPr="00883454">
        <w:rPr>
          <w:rFonts w:ascii="Georgia" w:hAnsi="Georgia" w:cs="Times New Roman"/>
          <w:color w:val="000000" w:themeColor="text1"/>
        </w:rPr>
        <w:t xml:space="preserve">it has, evolve and encompass new forms of expression that, like choreography, are not easily reduced to neat definitions. “Congress recurrently adjusts copyright law to protect categories of works once outside the law’s compass.” </w:t>
      </w:r>
      <w:hyperlink r:id="rId69" w:anchor="co_pp_sp_708_892" w:history="1">
        <w:r w:rsidRPr="00883454">
          <w:rPr>
            <w:rFonts w:ascii="Georgia" w:hAnsi="Georgia" w:cs="Times New Roman"/>
            <w:i/>
            <w:iCs/>
            <w:color w:val="000000" w:themeColor="text1"/>
          </w:rPr>
          <w:t>Golan,</w:t>
        </w:r>
        <w:r w:rsidRPr="00883454">
          <w:rPr>
            <w:rFonts w:ascii="Georgia" w:hAnsi="Georgia" w:cs="Times New Roman"/>
            <w:color w:val="000000" w:themeColor="text1"/>
          </w:rPr>
          <w:t xml:space="preserve"> 132 </w:t>
        </w:r>
        <w:proofErr w:type="spellStart"/>
        <w:r w:rsidRPr="00883454">
          <w:rPr>
            <w:rFonts w:ascii="Georgia" w:hAnsi="Georgia" w:cs="Times New Roman"/>
            <w:color w:val="000000" w:themeColor="text1"/>
          </w:rPr>
          <w:t>S.Ct</w:t>
        </w:r>
        <w:proofErr w:type="spellEnd"/>
        <w:r w:rsidRPr="00883454">
          <w:rPr>
            <w:rFonts w:ascii="Georgia" w:hAnsi="Georgia" w:cs="Times New Roman"/>
            <w:color w:val="000000" w:themeColor="text1"/>
          </w:rPr>
          <w:t>. at 892</w:t>
        </w:r>
      </w:hyperlink>
      <w:r w:rsidRPr="00883454">
        <w:rPr>
          <w:rFonts w:ascii="Georgia" w:hAnsi="Georgia" w:cs="Times New Roman"/>
          <w:color w:val="000000" w:themeColor="text1"/>
        </w:rPr>
        <w:t xml:space="preserve"> (listing such categories, including foreign works, dramatic works, photographs, motion pictures, fixed sound recordings, and architectural works). Yet as Congress has responded to new technologies and evolving understandings of creative expression, the idea/expression dichotomy has remained firmly in place. This dichotomy, as this case illustrates, polices the uncertain boundaries of copyrightable subject matter.</w:t>
      </w:r>
    </w:p>
    <w:p w:rsidR="00665CB9" w:rsidRPr="00883454" w:rsidRDefault="00665CB9" w:rsidP="00883454">
      <w:pPr>
        <w:widowControl w:val="0"/>
        <w:autoSpaceDE w:val="0"/>
        <w:autoSpaceDN w:val="0"/>
        <w:adjustRightInd w:val="0"/>
        <w:spacing w:after="0" w:line="240" w:lineRule="auto"/>
        <w:ind w:firstLine="720"/>
        <w:jc w:val="both"/>
        <w:rPr>
          <w:rFonts w:ascii="Georgia" w:hAnsi="Georgia" w:cs="Times New Roman"/>
          <w:color w:val="000000" w:themeColor="text1"/>
        </w:rPr>
      </w:pPr>
      <w:r w:rsidRPr="00883454">
        <w:rPr>
          <w:rFonts w:ascii="Georgia" w:hAnsi="Georgia" w:cs="Times New Roman"/>
          <w:color w:val="000000" w:themeColor="text1"/>
        </w:rPr>
        <w:t> </w:t>
      </w:r>
    </w:p>
    <w:p w:rsidR="00665CB9" w:rsidRPr="00883454" w:rsidRDefault="00665CB9" w:rsidP="00883454">
      <w:pPr>
        <w:widowControl w:val="0"/>
        <w:autoSpaceDE w:val="0"/>
        <w:autoSpaceDN w:val="0"/>
        <w:adjustRightInd w:val="0"/>
        <w:spacing w:after="0" w:line="240" w:lineRule="auto"/>
        <w:ind w:firstLine="720"/>
        <w:jc w:val="both"/>
        <w:rPr>
          <w:rFonts w:ascii="Georgia" w:hAnsi="Georgia" w:cs="Times New Roman"/>
          <w:color w:val="000000" w:themeColor="text1"/>
        </w:rPr>
      </w:pPr>
      <w:r w:rsidRPr="00883454">
        <w:rPr>
          <w:rFonts w:ascii="Georgia" w:hAnsi="Georgia" w:cs="Times New Roman"/>
          <w:color w:val="000000" w:themeColor="text1"/>
        </w:rPr>
        <w:t xml:space="preserve">The Sequence is not copyrightable as a choreographic work for the same reason that it is not copyrightable as a compilation: it is an idea, process, or system to which copyright protection may “[i]n no case” extend. </w:t>
      </w:r>
      <w:hyperlink r:id="rId70" w:anchor="co_pp_a83b000018c76" w:history="1">
        <w:r w:rsidRPr="00883454">
          <w:rPr>
            <w:rFonts w:ascii="Georgia" w:hAnsi="Georgia" w:cs="Times New Roman"/>
            <w:color w:val="000000" w:themeColor="text1"/>
          </w:rPr>
          <w:t>17 U.S.C. § 102(b)</w:t>
        </w:r>
      </w:hyperlink>
      <w:r w:rsidRPr="00883454">
        <w:rPr>
          <w:rFonts w:ascii="Georgia" w:hAnsi="Georgia" w:cs="Times New Roman"/>
          <w:color w:val="000000" w:themeColor="text1"/>
        </w:rPr>
        <w:t xml:space="preserve">. We recognize that the Sequence may involve “static and kinetic successions of bodily movement in certain rhythmic and spatial relationships.” </w:t>
      </w:r>
      <w:r w:rsidRPr="00883454">
        <w:rPr>
          <w:rFonts w:ascii="Georgia" w:hAnsi="Georgia" w:cs="Times New Roman"/>
          <w:i/>
          <w:iCs/>
          <w:color w:val="000000" w:themeColor="text1"/>
        </w:rPr>
        <w:t>Compendium II,</w:t>
      </w:r>
      <w:r w:rsidRPr="00883454">
        <w:rPr>
          <w:rFonts w:ascii="Georgia" w:hAnsi="Georgia" w:cs="Times New Roman"/>
          <w:color w:val="000000" w:themeColor="text1"/>
        </w:rPr>
        <w:t xml:space="preserve"> § 450.01. So too would a method to churn butter or drill for oil. That is no accident: “successions of bodily movement” often serve basic functional purposes. Such movements do not become copyrightable as “choreographic works” when they are part and parcel of a process. Even if the Sequence could fit within some colloquial definitions of dance or choreography, it remains a process ineligible for copyright protection.</w:t>
      </w:r>
    </w:p>
    <w:p w:rsidR="00665CB9" w:rsidRPr="00883454" w:rsidRDefault="00665CB9" w:rsidP="00883454">
      <w:pPr>
        <w:widowControl w:val="0"/>
        <w:autoSpaceDE w:val="0"/>
        <w:autoSpaceDN w:val="0"/>
        <w:adjustRightInd w:val="0"/>
        <w:spacing w:after="0" w:line="240" w:lineRule="auto"/>
        <w:ind w:firstLine="720"/>
        <w:jc w:val="both"/>
        <w:rPr>
          <w:rFonts w:ascii="Georgia" w:hAnsi="Georgia" w:cs="Times New Roman"/>
          <w:color w:val="000000" w:themeColor="text1"/>
        </w:rPr>
      </w:pPr>
      <w:r w:rsidRPr="00883454">
        <w:rPr>
          <w:rFonts w:ascii="Georgia" w:hAnsi="Georgia" w:cs="Times New Roman"/>
          <w:color w:val="000000" w:themeColor="text1"/>
        </w:rPr>
        <w:t> </w:t>
      </w:r>
    </w:p>
    <w:p w:rsidR="00665CB9" w:rsidRPr="00883454" w:rsidRDefault="00665CB9" w:rsidP="00883454">
      <w:pPr>
        <w:widowControl w:val="0"/>
        <w:autoSpaceDE w:val="0"/>
        <w:autoSpaceDN w:val="0"/>
        <w:adjustRightInd w:val="0"/>
        <w:spacing w:after="0" w:line="240" w:lineRule="auto"/>
        <w:ind w:firstLine="720"/>
        <w:jc w:val="both"/>
        <w:rPr>
          <w:rFonts w:ascii="Georgia" w:hAnsi="Georgia" w:cs="Times New Roman"/>
          <w:color w:val="000000" w:themeColor="text1"/>
        </w:rPr>
      </w:pPr>
      <w:r w:rsidRPr="00883454">
        <w:rPr>
          <w:rFonts w:ascii="Georgia" w:hAnsi="Georgia" w:cs="Times New Roman"/>
          <w:color w:val="000000" w:themeColor="text1"/>
        </w:rPr>
        <w:t xml:space="preserve">The idea/expression dichotomy, codified in </w:t>
      </w:r>
      <w:hyperlink r:id="rId71" w:anchor="co_pp_a83b000018c76" w:history="1">
        <w:r w:rsidRPr="00883454">
          <w:rPr>
            <w:rFonts w:ascii="Georgia" w:hAnsi="Georgia" w:cs="Times New Roman"/>
            <w:color w:val="000000" w:themeColor="text1"/>
          </w:rPr>
          <w:t>Section 102(b)</w:t>
        </w:r>
      </w:hyperlink>
      <w:r w:rsidRPr="00883454">
        <w:rPr>
          <w:rFonts w:ascii="Georgia" w:hAnsi="Georgia" w:cs="Times New Roman"/>
          <w:color w:val="000000" w:themeColor="text1"/>
        </w:rPr>
        <w:t xml:space="preserve">, plays a similar role in defining the scope of protection for a “choreographic work” as it does for compilations. </w:t>
      </w:r>
      <w:r w:rsidRPr="00883454">
        <w:rPr>
          <w:rFonts w:ascii="Georgia" w:hAnsi="Georgia" w:cs="Times New Roman"/>
          <w:i/>
          <w:iCs/>
          <w:color w:val="000000" w:themeColor="text1"/>
        </w:rPr>
        <w:t xml:space="preserve">See </w:t>
      </w:r>
      <w:hyperlink r:id="rId72" w:history="1">
        <w:r w:rsidRPr="00883454">
          <w:rPr>
            <w:rFonts w:ascii="Georgia" w:hAnsi="Georgia" w:cs="Times New Roman"/>
            <w:i/>
            <w:iCs/>
            <w:color w:val="000000" w:themeColor="text1"/>
          </w:rPr>
          <w:t>Feist,</w:t>
        </w:r>
        <w:r w:rsidRPr="00883454">
          <w:rPr>
            <w:rFonts w:ascii="Georgia" w:hAnsi="Georgia" w:cs="Times New Roman"/>
            <w:color w:val="000000" w:themeColor="text1"/>
          </w:rPr>
          <w:t xml:space="preserve"> 499 U.S. at 350–51</w:t>
        </w:r>
      </w:hyperlink>
      <w:r w:rsidRPr="00883454">
        <w:rPr>
          <w:rFonts w:ascii="Georgia" w:hAnsi="Georgia" w:cs="Times New Roman"/>
          <w:color w:val="000000" w:themeColor="text1"/>
        </w:rPr>
        <w:t xml:space="preserve">. In the context of choreographic works, </w:t>
      </w:r>
      <w:r w:rsidRPr="00883454">
        <w:rPr>
          <w:rFonts w:ascii="Georgia" w:hAnsi="Georgia" w:cs="Times New Roman"/>
          <w:color w:val="000000" w:themeColor="text1"/>
        </w:rPr>
        <w:lastRenderedPageBreak/>
        <w:t>that role is essential. Our day-to-day lives consist of many routinized physical movements, from brushing one’s teeth to pushing a lawnmower to shaking a Polaroid picture, that could be (and, in two of the preceding examples, have been</w:t>
      </w:r>
      <w:bookmarkStart w:id="41" w:name="co_footnoteReference_B013132037334947_ID"/>
      <w:bookmarkEnd w:id="41"/>
      <w:r w:rsidR="00AF11F9" w:rsidRPr="00883454">
        <w:rPr>
          <w:rStyle w:val="FootnoteReference"/>
          <w:rFonts w:ascii="Georgia" w:hAnsi="Georgia" w:cs="Times New Roman"/>
          <w:color w:val="000000" w:themeColor="text1"/>
        </w:rPr>
        <w:footnoteReference w:customMarkFollows="1" w:id="7"/>
        <w:t>13</w:t>
      </w:r>
      <w:hyperlink w:anchor="co_footnote_B013132037334947_1" w:history="1">
        <w:r w:rsidRPr="00883454">
          <w:rPr>
            <w:rFonts w:ascii="Georgia" w:hAnsi="Georgia" w:cs="Times New Roman"/>
            <w:color w:val="000000" w:themeColor="text1"/>
            <w:vertAlign w:val="superscript"/>
          </w:rPr>
          <w:t>13</w:t>
        </w:r>
      </w:hyperlink>
      <w:r w:rsidRPr="00883454">
        <w:rPr>
          <w:rFonts w:ascii="Georgia" w:hAnsi="Georgia" w:cs="Times New Roman"/>
          <w:color w:val="000000" w:themeColor="text1"/>
        </w:rPr>
        <w:t xml:space="preserve">) characterized as forms of dance. Without a proper understanding of the idea/expression dichotomy, one might obtain monopoly rights over these functional physical sequences by describing them in a tangible medium of expression and labeling them choreographic works. The idea/expression dichotomy thus ensures that expansive interpretations of the categories enumerated as proper subjects of copyright will, “[i]n no case,” extend copyright protection beyond its constitutional limits. </w:t>
      </w:r>
      <w:hyperlink r:id="rId73" w:anchor="co_pp_a83b000018c76" w:history="1">
        <w:r w:rsidRPr="00883454">
          <w:rPr>
            <w:rFonts w:ascii="Georgia" w:hAnsi="Georgia" w:cs="Times New Roman"/>
            <w:color w:val="000000" w:themeColor="text1"/>
          </w:rPr>
          <w:t>17 U.S.C. § 102(b)</w:t>
        </w:r>
      </w:hyperlink>
      <w:r w:rsidR="00AF11F9" w:rsidRPr="00883454">
        <w:rPr>
          <w:rFonts w:ascii="Georgia" w:hAnsi="Georgia" w:cs="Times New Roman"/>
          <w:color w:val="000000" w:themeColor="text1"/>
        </w:rPr>
        <w:t>.</w:t>
      </w:r>
    </w:p>
    <w:p w:rsidR="00665CB9" w:rsidRPr="00883454" w:rsidRDefault="00A17CBF" w:rsidP="00883454">
      <w:pPr>
        <w:widowControl w:val="0"/>
        <w:autoSpaceDE w:val="0"/>
        <w:autoSpaceDN w:val="0"/>
        <w:adjustRightInd w:val="0"/>
        <w:spacing w:before="400" w:after="200" w:line="240" w:lineRule="auto"/>
        <w:ind w:firstLine="720"/>
        <w:jc w:val="center"/>
        <w:rPr>
          <w:rFonts w:ascii="Georgia" w:hAnsi="Georgia" w:cs="Times New Roman"/>
          <w:b/>
          <w:bCs/>
          <w:color w:val="000000" w:themeColor="text1"/>
        </w:rPr>
      </w:pPr>
      <w:bookmarkStart w:id="42" w:name="co_footnote_B013132037334947_1"/>
      <w:bookmarkStart w:id="43" w:name="co_anchor_I81e1a2b59f3111e598dc8b09b4f04"/>
      <w:bookmarkEnd w:id="42"/>
      <w:bookmarkEnd w:id="43"/>
      <w:r w:rsidRPr="00883454">
        <w:rPr>
          <w:rFonts w:ascii="Georgia" w:hAnsi="Georgia" w:cs="Times New Roman"/>
          <w:b/>
          <w:bCs/>
          <w:color w:val="000000" w:themeColor="text1"/>
        </w:rPr>
        <w:t>I</w:t>
      </w:r>
      <w:r w:rsidR="00665CB9" w:rsidRPr="00883454">
        <w:rPr>
          <w:rFonts w:ascii="Georgia" w:hAnsi="Georgia" w:cs="Times New Roman"/>
          <w:b/>
          <w:bCs/>
          <w:color w:val="000000" w:themeColor="text1"/>
        </w:rPr>
        <w:t>V. Conclusion</w:t>
      </w:r>
    </w:p>
    <w:p w:rsidR="00665CB9" w:rsidRPr="00883454" w:rsidRDefault="00665CB9" w:rsidP="00883454">
      <w:pPr>
        <w:widowControl w:val="0"/>
        <w:autoSpaceDE w:val="0"/>
        <w:autoSpaceDN w:val="0"/>
        <w:adjustRightInd w:val="0"/>
        <w:spacing w:after="0" w:line="240" w:lineRule="auto"/>
        <w:ind w:firstLine="720"/>
        <w:jc w:val="both"/>
        <w:rPr>
          <w:rFonts w:ascii="Georgia" w:hAnsi="Georgia" w:cs="Times New Roman"/>
          <w:color w:val="000000" w:themeColor="text1"/>
        </w:rPr>
      </w:pPr>
      <w:r w:rsidRPr="00883454">
        <w:rPr>
          <w:rFonts w:ascii="Georgia" w:hAnsi="Georgia" w:cs="Times New Roman"/>
          <w:color w:val="000000" w:themeColor="text1"/>
        </w:rPr>
        <w:t xml:space="preserve">Although there is no cause to dispute the many health, fitness, spiritual, and aesthetic benefits of yoga, and Bikram Yoga in particular, they do not bring the Sequence into the realm of copyright protection. The Sequence falls squarely within </w:t>
      </w:r>
      <w:hyperlink r:id="rId74" w:anchor="co_pp_a83b000018c76" w:history="1">
        <w:r w:rsidRPr="00883454">
          <w:rPr>
            <w:rFonts w:ascii="Georgia" w:hAnsi="Georgia" w:cs="Times New Roman"/>
            <w:color w:val="000000" w:themeColor="text1"/>
          </w:rPr>
          <w:t>Section 102(b)</w:t>
        </w:r>
      </w:hyperlink>
      <w:r w:rsidRPr="00883454">
        <w:rPr>
          <w:rFonts w:ascii="Georgia" w:hAnsi="Georgia" w:cs="Times New Roman"/>
          <w:color w:val="000000" w:themeColor="text1"/>
        </w:rPr>
        <w:t xml:space="preserve">’s exclusions from copyright protection, no matter how it is labeled or how ably the label is argued. Therefore, the district court properly granted </w:t>
      </w:r>
      <w:proofErr w:type="spellStart"/>
      <w:r w:rsidRPr="00883454">
        <w:rPr>
          <w:rFonts w:ascii="Georgia" w:hAnsi="Georgia" w:cs="Times New Roman"/>
          <w:color w:val="000000" w:themeColor="text1"/>
        </w:rPr>
        <w:t>Evolation’s</w:t>
      </w:r>
      <w:proofErr w:type="spellEnd"/>
      <w:r w:rsidRPr="00883454">
        <w:rPr>
          <w:rFonts w:ascii="Georgia" w:hAnsi="Georgia" w:cs="Times New Roman"/>
          <w:color w:val="000000" w:themeColor="text1"/>
        </w:rPr>
        <w:t xml:space="preserve"> motion for partial summary judgment.</w:t>
      </w:r>
    </w:p>
    <w:p w:rsidR="00665CB9" w:rsidRPr="00883454" w:rsidRDefault="00665CB9" w:rsidP="00883454">
      <w:pPr>
        <w:widowControl w:val="0"/>
        <w:autoSpaceDE w:val="0"/>
        <w:autoSpaceDN w:val="0"/>
        <w:adjustRightInd w:val="0"/>
        <w:spacing w:after="0" w:line="240" w:lineRule="auto"/>
        <w:ind w:firstLine="720"/>
        <w:jc w:val="both"/>
        <w:rPr>
          <w:rFonts w:ascii="Georgia" w:hAnsi="Georgia" w:cs="Times New Roman"/>
          <w:color w:val="000000" w:themeColor="text1"/>
        </w:rPr>
      </w:pPr>
      <w:r w:rsidRPr="00883454">
        <w:rPr>
          <w:rFonts w:ascii="Georgia" w:hAnsi="Georgia" w:cs="Times New Roman"/>
          <w:color w:val="000000" w:themeColor="text1"/>
        </w:rPr>
        <w:t> </w:t>
      </w:r>
    </w:p>
    <w:p w:rsidR="00665CB9" w:rsidRPr="00883454" w:rsidRDefault="00665CB9" w:rsidP="00883454">
      <w:pPr>
        <w:widowControl w:val="0"/>
        <w:autoSpaceDE w:val="0"/>
        <w:autoSpaceDN w:val="0"/>
        <w:adjustRightInd w:val="0"/>
        <w:spacing w:after="0" w:line="240" w:lineRule="auto"/>
        <w:ind w:firstLine="720"/>
        <w:jc w:val="both"/>
        <w:rPr>
          <w:rFonts w:ascii="Georgia" w:hAnsi="Georgia" w:cs="Times New Roman"/>
          <w:b/>
          <w:bCs/>
          <w:color w:val="000000" w:themeColor="text1"/>
        </w:rPr>
      </w:pPr>
      <w:r w:rsidRPr="00883454">
        <w:rPr>
          <w:rFonts w:ascii="Georgia" w:hAnsi="Georgia" w:cs="Times New Roman"/>
          <w:b/>
          <w:bCs/>
          <w:color w:val="000000" w:themeColor="text1"/>
        </w:rPr>
        <w:t>AFFIRMED.</w:t>
      </w:r>
      <w:bookmarkStart w:id="44" w:name="co_allCitations_1"/>
      <w:bookmarkEnd w:id="44"/>
    </w:p>
    <w:sectPr w:rsidR="00665CB9" w:rsidRPr="00883454" w:rsidSect="00883454">
      <w:type w:val="continuous"/>
      <w:pgSz w:w="12240" w:h="15840"/>
      <w:pgMar w:top="2160" w:right="2160" w:bottom="2160" w:left="21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63F" w:rsidRDefault="009E063F">
      <w:pPr>
        <w:spacing w:after="0" w:line="240" w:lineRule="auto"/>
      </w:pPr>
      <w:r>
        <w:separator/>
      </w:r>
    </w:p>
  </w:endnote>
  <w:endnote w:type="continuationSeparator" w:id="0">
    <w:p w:rsidR="009E063F" w:rsidRDefault="009E0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8035644"/>
      <w:docPartObj>
        <w:docPartGallery w:val="Page Numbers (Bottom of Page)"/>
        <w:docPartUnique/>
      </w:docPartObj>
    </w:sdtPr>
    <w:sdtEndPr>
      <w:rPr>
        <w:rFonts w:ascii="Georgia" w:hAnsi="Georgia"/>
      </w:rPr>
    </w:sdtEndPr>
    <w:sdtContent>
      <w:sdt>
        <w:sdtPr>
          <w:id w:val="1728636285"/>
          <w:docPartObj>
            <w:docPartGallery w:val="Page Numbers (Top of Page)"/>
            <w:docPartUnique/>
          </w:docPartObj>
        </w:sdtPr>
        <w:sdtEndPr>
          <w:rPr>
            <w:rFonts w:ascii="Georgia" w:hAnsi="Georgia"/>
          </w:rPr>
        </w:sdtEndPr>
        <w:sdtContent>
          <w:p w:rsidR="00533A28" w:rsidRPr="00533A28" w:rsidRDefault="00533A28">
            <w:pPr>
              <w:pStyle w:val="Footer"/>
              <w:jc w:val="center"/>
              <w:rPr>
                <w:rFonts w:ascii="Georgia" w:hAnsi="Georgia"/>
              </w:rPr>
            </w:pPr>
            <w:r w:rsidRPr="00533A28">
              <w:rPr>
                <w:rFonts w:ascii="Georgia" w:hAnsi="Georgia"/>
              </w:rPr>
              <w:t xml:space="preserve">Page </w:t>
            </w:r>
            <w:r w:rsidRPr="00533A28">
              <w:rPr>
                <w:rFonts w:ascii="Georgia" w:hAnsi="Georgia"/>
                <w:bCs/>
                <w:sz w:val="24"/>
                <w:szCs w:val="24"/>
              </w:rPr>
              <w:fldChar w:fldCharType="begin"/>
            </w:r>
            <w:r w:rsidRPr="00533A28">
              <w:rPr>
                <w:rFonts w:ascii="Georgia" w:hAnsi="Georgia"/>
                <w:bCs/>
              </w:rPr>
              <w:instrText xml:space="preserve"> PAGE </w:instrText>
            </w:r>
            <w:r w:rsidRPr="00533A28">
              <w:rPr>
                <w:rFonts w:ascii="Georgia" w:hAnsi="Georgia"/>
                <w:bCs/>
                <w:sz w:val="24"/>
                <w:szCs w:val="24"/>
              </w:rPr>
              <w:fldChar w:fldCharType="separate"/>
            </w:r>
            <w:r w:rsidR="009B611D">
              <w:rPr>
                <w:rFonts w:ascii="Georgia" w:hAnsi="Georgia"/>
                <w:bCs/>
                <w:noProof/>
              </w:rPr>
              <w:t>12</w:t>
            </w:r>
            <w:r w:rsidRPr="00533A28">
              <w:rPr>
                <w:rFonts w:ascii="Georgia" w:hAnsi="Georgia"/>
                <w:bCs/>
                <w:sz w:val="24"/>
                <w:szCs w:val="24"/>
              </w:rPr>
              <w:fldChar w:fldCharType="end"/>
            </w:r>
            <w:r w:rsidRPr="00533A28">
              <w:rPr>
                <w:rFonts w:ascii="Georgia" w:hAnsi="Georgia"/>
              </w:rPr>
              <w:t xml:space="preserve"> of </w:t>
            </w:r>
            <w:r w:rsidRPr="00533A28">
              <w:rPr>
                <w:rFonts w:ascii="Georgia" w:hAnsi="Georgia"/>
                <w:bCs/>
                <w:sz w:val="24"/>
                <w:szCs w:val="24"/>
              </w:rPr>
              <w:fldChar w:fldCharType="begin"/>
            </w:r>
            <w:r w:rsidRPr="00533A28">
              <w:rPr>
                <w:rFonts w:ascii="Georgia" w:hAnsi="Georgia"/>
                <w:bCs/>
              </w:rPr>
              <w:instrText xml:space="preserve"> NUMPAGES  </w:instrText>
            </w:r>
            <w:r w:rsidRPr="00533A28">
              <w:rPr>
                <w:rFonts w:ascii="Georgia" w:hAnsi="Georgia"/>
                <w:bCs/>
                <w:sz w:val="24"/>
                <w:szCs w:val="24"/>
              </w:rPr>
              <w:fldChar w:fldCharType="separate"/>
            </w:r>
            <w:r w:rsidR="009B611D">
              <w:rPr>
                <w:rFonts w:ascii="Georgia" w:hAnsi="Georgia"/>
                <w:bCs/>
                <w:noProof/>
              </w:rPr>
              <w:t>12</w:t>
            </w:r>
            <w:r w:rsidRPr="00533A28">
              <w:rPr>
                <w:rFonts w:ascii="Georgia" w:hAnsi="Georgia"/>
                <w:bCs/>
                <w:sz w:val="24"/>
                <w:szCs w:val="24"/>
              </w:rPr>
              <w:fldChar w:fldCharType="end"/>
            </w:r>
          </w:p>
        </w:sdtContent>
      </w:sdt>
    </w:sdtContent>
  </w:sdt>
  <w:p w:rsidR="00783DD7" w:rsidRDefault="00783D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63F" w:rsidRDefault="009E063F">
      <w:pPr>
        <w:spacing w:after="0" w:line="240" w:lineRule="auto"/>
      </w:pPr>
      <w:r>
        <w:separator/>
      </w:r>
    </w:p>
  </w:footnote>
  <w:footnote w:type="continuationSeparator" w:id="0">
    <w:p w:rsidR="009E063F" w:rsidRDefault="009E063F">
      <w:pPr>
        <w:spacing w:after="0" w:line="240" w:lineRule="auto"/>
      </w:pPr>
      <w:r>
        <w:continuationSeparator/>
      </w:r>
    </w:p>
  </w:footnote>
  <w:footnote w:id="1">
    <w:p w:rsidR="00106987" w:rsidRPr="00883454" w:rsidRDefault="00106987" w:rsidP="00883454">
      <w:pPr>
        <w:widowControl w:val="0"/>
        <w:autoSpaceDE w:val="0"/>
        <w:autoSpaceDN w:val="0"/>
        <w:adjustRightInd w:val="0"/>
        <w:spacing w:after="0" w:line="240" w:lineRule="auto"/>
        <w:jc w:val="both"/>
        <w:rPr>
          <w:rFonts w:ascii="Georgia" w:hAnsi="Georgia" w:cs="Times New Roman"/>
          <w:color w:val="000000"/>
          <w:sz w:val="20"/>
          <w:szCs w:val="20"/>
        </w:rPr>
      </w:pPr>
      <w:r w:rsidRPr="00883454">
        <w:rPr>
          <w:rStyle w:val="FootnoteReference"/>
          <w:rFonts w:ascii="Georgia" w:hAnsi="Georgia"/>
          <w:sz w:val="20"/>
          <w:szCs w:val="20"/>
        </w:rPr>
        <w:t>2</w:t>
      </w:r>
      <w:r w:rsidRPr="00883454">
        <w:rPr>
          <w:rFonts w:ascii="Georgia" w:hAnsi="Georgia"/>
          <w:sz w:val="20"/>
          <w:szCs w:val="20"/>
        </w:rPr>
        <w:t xml:space="preserve"> </w:t>
      </w:r>
      <w:r w:rsidRPr="00883454">
        <w:rPr>
          <w:rFonts w:ascii="Georgia" w:hAnsi="Georgia" w:cs="Times New Roman"/>
          <w:color w:val="000000"/>
          <w:sz w:val="20"/>
          <w:szCs w:val="20"/>
        </w:rPr>
        <w:t xml:space="preserve">Choudhury has registered several other works with the Copyright Office, including Bikram’s Beginning Yoga Class (2d </w:t>
      </w:r>
      <w:proofErr w:type="gramStart"/>
      <w:r w:rsidRPr="00883454">
        <w:rPr>
          <w:rFonts w:ascii="Georgia" w:hAnsi="Georgia" w:cs="Times New Roman"/>
          <w:color w:val="000000"/>
          <w:sz w:val="20"/>
          <w:szCs w:val="20"/>
        </w:rPr>
        <w:t>ed</w:t>
      </w:r>
      <w:proofErr w:type="gramEnd"/>
      <w:r w:rsidRPr="00883454">
        <w:rPr>
          <w:rFonts w:ascii="Georgia" w:hAnsi="Georgia" w:cs="Times New Roman"/>
          <w:color w:val="000000"/>
          <w:sz w:val="20"/>
          <w:szCs w:val="20"/>
        </w:rPr>
        <w:t>.) (2000), Bikram’s Beginning Yoga Class (sound cassette) (2002), Bikram’s Yoga College of India Beginning Yoga Dialogue (2002), Bikram’s Yoga College of India: Yoga Teacher Training Course: Curriculum Outline (2002), Yoga for Pregnancy (2002), Bikram’s Advanced Yoga Class (2006), and Bikram’s Yoga (2007).</w:t>
      </w:r>
    </w:p>
  </w:footnote>
  <w:footnote w:id="2">
    <w:p w:rsidR="00106987" w:rsidRPr="00883454" w:rsidRDefault="00106987" w:rsidP="00883454">
      <w:pPr>
        <w:widowControl w:val="0"/>
        <w:autoSpaceDE w:val="0"/>
        <w:autoSpaceDN w:val="0"/>
        <w:adjustRightInd w:val="0"/>
        <w:spacing w:after="0" w:line="240" w:lineRule="auto"/>
        <w:jc w:val="both"/>
        <w:rPr>
          <w:rFonts w:ascii="Georgia" w:hAnsi="Georgia" w:cs="Times New Roman"/>
          <w:color w:val="000000"/>
          <w:sz w:val="20"/>
          <w:szCs w:val="20"/>
        </w:rPr>
      </w:pPr>
      <w:r w:rsidRPr="00883454">
        <w:rPr>
          <w:rStyle w:val="FootnoteReference"/>
          <w:rFonts w:ascii="Georgia" w:hAnsi="Georgia"/>
          <w:sz w:val="20"/>
          <w:szCs w:val="20"/>
        </w:rPr>
        <w:t>5</w:t>
      </w:r>
      <w:r w:rsidRPr="00883454">
        <w:rPr>
          <w:rFonts w:ascii="Georgia" w:hAnsi="Georgia"/>
          <w:sz w:val="20"/>
          <w:szCs w:val="20"/>
        </w:rPr>
        <w:t xml:space="preserve"> </w:t>
      </w:r>
      <w:r w:rsidRPr="00883454">
        <w:rPr>
          <w:rFonts w:ascii="Georgia" w:hAnsi="Georgia" w:cs="Times New Roman"/>
          <w:color w:val="000000"/>
          <w:sz w:val="20"/>
          <w:szCs w:val="20"/>
        </w:rPr>
        <w:t xml:space="preserve">As noted above, Choudhury obtained a copyright for a “compilation of exercises” through his 2002 supplementary registration to </w:t>
      </w:r>
      <w:r w:rsidRPr="00883454">
        <w:rPr>
          <w:rFonts w:ascii="Georgia" w:hAnsi="Georgia" w:cs="Times New Roman"/>
          <w:i/>
          <w:iCs/>
          <w:color w:val="000000"/>
          <w:sz w:val="20"/>
          <w:szCs w:val="20"/>
        </w:rPr>
        <w:t>Bikram’s Beginning Yoga Class,</w:t>
      </w:r>
      <w:r w:rsidRPr="00883454">
        <w:rPr>
          <w:rFonts w:ascii="Georgia" w:hAnsi="Georgia" w:cs="Times New Roman"/>
          <w:color w:val="000000"/>
          <w:sz w:val="20"/>
          <w:szCs w:val="20"/>
        </w:rPr>
        <w:t xml:space="preserve"> which was first published in 1979. Choudhury claims that the 2002 supplementary registration relates back to the 1979 registration. In Choudhury’s view, the supplementary registration thus issued within five years of first publication and therefore serves as “prima facie evidence of the validity of the copyright.” </w:t>
      </w:r>
      <w:hyperlink r:id="rId1" w:anchor="co_pp_4b24000003ba5" w:history="1">
        <w:r w:rsidRPr="00883454">
          <w:rPr>
            <w:rFonts w:ascii="Georgia" w:hAnsi="Georgia" w:cs="Times New Roman"/>
            <w:color w:val="0000FF"/>
            <w:sz w:val="20"/>
            <w:szCs w:val="20"/>
          </w:rPr>
          <w:t>17 U.S.C. § 410(c)</w:t>
        </w:r>
      </w:hyperlink>
      <w:r w:rsidRPr="00883454">
        <w:rPr>
          <w:rFonts w:ascii="Georgia" w:hAnsi="Georgia" w:cs="Times New Roman"/>
          <w:color w:val="000000"/>
          <w:sz w:val="20"/>
          <w:szCs w:val="20"/>
        </w:rPr>
        <w:t>. Here, however, we need not decide whether Choudhury’s supplementary registration is prima facie evidence of the validity of the copyright, for even if it were, the undisputed facts are sufficient to overcome any presumption of validity.</w:t>
      </w:r>
    </w:p>
  </w:footnote>
  <w:footnote w:id="3">
    <w:p w:rsidR="00106987" w:rsidRPr="00883454" w:rsidRDefault="00106987" w:rsidP="00883454">
      <w:pPr>
        <w:widowControl w:val="0"/>
        <w:autoSpaceDE w:val="0"/>
        <w:autoSpaceDN w:val="0"/>
        <w:adjustRightInd w:val="0"/>
        <w:spacing w:after="0" w:line="240" w:lineRule="auto"/>
        <w:jc w:val="both"/>
        <w:rPr>
          <w:rFonts w:ascii="Georgia" w:hAnsi="Georgia" w:cs="Times New Roman"/>
          <w:color w:val="000000"/>
          <w:sz w:val="20"/>
          <w:szCs w:val="20"/>
        </w:rPr>
      </w:pPr>
      <w:r w:rsidRPr="00883454">
        <w:rPr>
          <w:rStyle w:val="FootnoteReference"/>
          <w:rFonts w:ascii="Georgia" w:hAnsi="Georgia"/>
          <w:sz w:val="20"/>
          <w:szCs w:val="20"/>
        </w:rPr>
        <w:t>8</w:t>
      </w:r>
      <w:r w:rsidRPr="00883454">
        <w:rPr>
          <w:rFonts w:ascii="Georgia" w:hAnsi="Georgia"/>
          <w:sz w:val="20"/>
          <w:szCs w:val="20"/>
        </w:rPr>
        <w:t xml:space="preserve"> </w:t>
      </w:r>
      <w:r w:rsidRPr="00883454">
        <w:rPr>
          <w:rFonts w:ascii="Georgia" w:hAnsi="Georgia" w:cs="Times New Roman"/>
          <w:color w:val="000000"/>
          <w:sz w:val="20"/>
          <w:szCs w:val="20"/>
        </w:rPr>
        <w:t>We do not opine on whether the Sequence is, in fact, patentable.</w:t>
      </w:r>
    </w:p>
  </w:footnote>
  <w:footnote w:id="4">
    <w:p w:rsidR="00106987" w:rsidRPr="00883454" w:rsidRDefault="00106987" w:rsidP="00883454">
      <w:pPr>
        <w:widowControl w:val="0"/>
        <w:autoSpaceDE w:val="0"/>
        <w:autoSpaceDN w:val="0"/>
        <w:adjustRightInd w:val="0"/>
        <w:spacing w:after="0" w:line="240" w:lineRule="auto"/>
        <w:jc w:val="both"/>
        <w:rPr>
          <w:rFonts w:ascii="Georgia" w:hAnsi="Georgia" w:cs="Times New Roman"/>
          <w:color w:val="000000"/>
          <w:sz w:val="20"/>
          <w:szCs w:val="20"/>
        </w:rPr>
      </w:pPr>
      <w:r w:rsidRPr="00883454">
        <w:rPr>
          <w:rStyle w:val="FootnoteReference"/>
          <w:rFonts w:ascii="Georgia" w:hAnsi="Georgia"/>
          <w:sz w:val="20"/>
          <w:szCs w:val="20"/>
        </w:rPr>
        <w:t>10</w:t>
      </w:r>
      <w:r w:rsidRPr="00883454">
        <w:rPr>
          <w:rFonts w:ascii="Georgia" w:hAnsi="Georgia"/>
          <w:sz w:val="20"/>
          <w:szCs w:val="20"/>
        </w:rPr>
        <w:t xml:space="preserve"> </w:t>
      </w:r>
      <w:r w:rsidRPr="00883454">
        <w:rPr>
          <w:rFonts w:ascii="Georgia" w:hAnsi="Georgia" w:cs="Times New Roman"/>
          <w:color w:val="000000"/>
          <w:sz w:val="20"/>
          <w:szCs w:val="20"/>
        </w:rPr>
        <w:t xml:space="preserve">Choudhury argues that the district court granted undue deference to a recent Copyright Office Policy Statement concerning copyright protection for yoga sequences as compilations. </w:t>
      </w:r>
      <w:r w:rsidRPr="00883454">
        <w:rPr>
          <w:rFonts w:ascii="Georgia" w:hAnsi="Georgia" w:cs="Times New Roman"/>
          <w:i/>
          <w:iCs/>
          <w:color w:val="000000"/>
          <w:sz w:val="20"/>
          <w:szCs w:val="20"/>
        </w:rPr>
        <w:t>See</w:t>
      </w:r>
      <w:r w:rsidRPr="00883454">
        <w:rPr>
          <w:rFonts w:ascii="Georgia" w:hAnsi="Georgia" w:cs="Times New Roman"/>
          <w:color w:val="000000"/>
          <w:sz w:val="20"/>
          <w:szCs w:val="20"/>
        </w:rPr>
        <w:t xml:space="preserve"> </w:t>
      </w:r>
      <w:hyperlink r:id="rId2" w:anchor="co_pp_sp_1037_37605" w:history="1">
        <w:r w:rsidRPr="00883454">
          <w:rPr>
            <w:rFonts w:ascii="Georgia" w:hAnsi="Georgia" w:cs="Times New Roman"/>
            <w:color w:val="0000FF"/>
            <w:sz w:val="20"/>
            <w:szCs w:val="20"/>
          </w:rPr>
          <w:t xml:space="preserve">Registration of Claims to Copyright, 77 </w:t>
        </w:r>
        <w:proofErr w:type="spellStart"/>
        <w:r w:rsidRPr="00883454">
          <w:rPr>
            <w:rFonts w:ascii="Georgia" w:hAnsi="Georgia" w:cs="Times New Roman"/>
            <w:color w:val="0000FF"/>
            <w:sz w:val="20"/>
            <w:szCs w:val="20"/>
          </w:rPr>
          <w:t>Fed.Reg</w:t>
        </w:r>
        <w:proofErr w:type="spellEnd"/>
        <w:r w:rsidRPr="00883454">
          <w:rPr>
            <w:rFonts w:ascii="Georgia" w:hAnsi="Georgia" w:cs="Times New Roman"/>
            <w:color w:val="0000FF"/>
            <w:sz w:val="20"/>
            <w:szCs w:val="20"/>
          </w:rPr>
          <w:t>. 37605 (June 22, 2012)</w:t>
        </w:r>
      </w:hyperlink>
      <w:r w:rsidRPr="00883454">
        <w:rPr>
          <w:rFonts w:ascii="Georgia" w:hAnsi="Georgia" w:cs="Times New Roman"/>
          <w:color w:val="000000"/>
          <w:sz w:val="20"/>
          <w:szCs w:val="20"/>
        </w:rPr>
        <w:t>. In this Statement, the Copyright Office explains that</w:t>
      </w:r>
    </w:p>
    <w:p w:rsidR="00106987" w:rsidRPr="00883454" w:rsidRDefault="00106987" w:rsidP="00883454">
      <w:pPr>
        <w:widowControl w:val="0"/>
        <w:autoSpaceDE w:val="0"/>
        <w:autoSpaceDN w:val="0"/>
        <w:adjustRightInd w:val="0"/>
        <w:spacing w:after="0" w:line="240" w:lineRule="auto"/>
        <w:ind w:left="540"/>
        <w:jc w:val="both"/>
        <w:rPr>
          <w:rFonts w:ascii="Georgia" w:hAnsi="Georgia" w:cs="Times New Roman"/>
          <w:color w:val="000000"/>
          <w:sz w:val="20"/>
          <w:szCs w:val="20"/>
        </w:rPr>
      </w:pPr>
      <w:proofErr w:type="gramStart"/>
      <w:r w:rsidRPr="00883454">
        <w:rPr>
          <w:rFonts w:ascii="Georgia" w:hAnsi="Georgia" w:cs="Times New Roman"/>
          <w:color w:val="000000"/>
          <w:sz w:val="20"/>
          <w:szCs w:val="20"/>
        </w:rPr>
        <w:t>a</w:t>
      </w:r>
      <w:proofErr w:type="gramEnd"/>
      <w:r w:rsidRPr="00883454">
        <w:rPr>
          <w:rFonts w:ascii="Georgia" w:hAnsi="Georgia" w:cs="Times New Roman"/>
          <w:color w:val="000000"/>
          <w:sz w:val="20"/>
          <w:szCs w:val="20"/>
        </w:rPr>
        <w:t xml:space="preserve"> claim in a compilation of exercises or the selection and arrangement of yoga poses will be refused registration.... The Copyright Office would entertain a claim in the selection, coordination or arrangement of, for instance, photographs or drawings of exercises, but such compilation authorship would not extend to the selection, coordination or arrangement of the exercises themselves that are depicted in the photographs or drawings.</w:t>
      </w:r>
    </w:p>
    <w:p w:rsidR="00106987" w:rsidRPr="00883454" w:rsidRDefault="009E063F" w:rsidP="00883454">
      <w:pPr>
        <w:widowControl w:val="0"/>
        <w:autoSpaceDE w:val="0"/>
        <w:autoSpaceDN w:val="0"/>
        <w:adjustRightInd w:val="0"/>
        <w:spacing w:after="0" w:line="240" w:lineRule="auto"/>
        <w:jc w:val="both"/>
        <w:rPr>
          <w:rFonts w:ascii="Georgia" w:hAnsi="Georgia" w:cs="Times New Roman"/>
          <w:color w:val="000000"/>
          <w:sz w:val="20"/>
          <w:szCs w:val="20"/>
        </w:rPr>
      </w:pPr>
      <w:hyperlink r:id="rId3" w:anchor="co_pp_sp_1037_37605" w:history="1">
        <w:r w:rsidR="00106987" w:rsidRPr="00883454">
          <w:rPr>
            <w:rFonts w:ascii="Georgia" w:hAnsi="Georgia" w:cs="Times New Roman"/>
            <w:i/>
            <w:iCs/>
            <w:color w:val="0000FF"/>
            <w:sz w:val="20"/>
            <w:szCs w:val="20"/>
          </w:rPr>
          <w:t>Id.</w:t>
        </w:r>
        <w:r w:rsidR="00106987" w:rsidRPr="00883454">
          <w:rPr>
            <w:rFonts w:ascii="Georgia" w:hAnsi="Georgia" w:cs="Times New Roman"/>
            <w:color w:val="0000FF"/>
            <w:sz w:val="20"/>
            <w:szCs w:val="20"/>
          </w:rPr>
          <w:t xml:space="preserve"> at 37607</w:t>
        </w:r>
      </w:hyperlink>
      <w:r w:rsidR="00106987" w:rsidRPr="00883454">
        <w:rPr>
          <w:rFonts w:ascii="Georgia" w:hAnsi="Georgia" w:cs="Times New Roman"/>
          <w:color w:val="000000"/>
          <w:sz w:val="20"/>
          <w:szCs w:val="20"/>
        </w:rPr>
        <w:t xml:space="preserve">. We need not decide whether the district court improperly deferred to the Copyright Office, however, for we “may affirm on any ground supported by the record.” </w:t>
      </w:r>
      <w:hyperlink r:id="rId4" w:anchor="co_pp_sp_506_955" w:history="1">
        <w:r w:rsidR="00106987" w:rsidRPr="00883454">
          <w:rPr>
            <w:rFonts w:ascii="Georgia" w:hAnsi="Georgia" w:cs="Times New Roman"/>
            <w:i/>
            <w:iCs/>
            <w:color w:val="0000FF"/>
            <w:sz w:val="20"/>
            <w:szCs w:val="20"/>
          </w:rPr>
          <w:t>White,</w:t>
        </w:r>
        <w:r w:rsidR="00106987" w:rsidRPr="00883454">
          <w:rPr>
            <w:rFonts w:ascii="Georgia" w:hAnsi="Georgia" w:cs="Times New Roman"/>
            <w:color w:val="0000FF"/>
            <w:sz w:val="20"/>
            <w:szCs w:val="20"/>
          </w:rPr>
          <w:t xml:space="preserve"> 500 F.3d at 955</w:t>
        </w:r>
      </w:hyperlink>
      <w:r w:rsidR="00106987" w:rsidRPr="00883454">
        <w:rPr>
          <w:rFonts w:ascii="Georgia" w:hAnsi="Georgia" w:cs="Times New Roman"/>
          <w:color w:val="000000"/>
          <w:sz w:val="20"/>
          <w:szCs w:val="20"/>
        </w:rPr>
        <w:t xml:space="preserve"> (citation omitted). The undisputed evidence, viewed in the light most favorable to Choudhury, precludes copyright protection for the Sequence.</w:t>
      </w:r>
    </w:p>
  </w:footnote>
  <w:footnote w:id="5">
    <w:p w:rsidR="00AF11F9" w:rsidRPr="00883454" w:rsidRDefault="00AF11F9" w:rsidP="00883454">
      <w:pPr>
        <w:widowControl w:val="0"/>
        <w:autoSpaceDE w:val="0"/>
        <w:autoSpaceDN w:val="0"/>
        <w:adjustRightInd w:val="0"/>
        <w:spacing w:after="0" w:line="240" w:lineRule="auto"/>
        <w:jc w:val="both"/>
        <w:rPr>
          <w:rFonts w:ascii="Georgia" w:hAnsi="Georgia" w:cs="Times New Roman"/>
          <w:color w:val="000000"/>
          <w:sz w:val="20"/>
          <w:szCs w:val="20"/>
        </w:rPr>
      </w:pPr>
      <w:r w:rsidRPr="00883454">
        <w:rPr>
          <w:rStyle w:val="FootnoteReference"/>
          <w:rFonts w:ascii="Georgia" w:hAnsi="Georgia"/>
          <w:sz w:val="20"/>
          <w:szCs w:val="20"/>
        </w:rPr>
        <w:t>11</w:t>
      </w:r>
      <w:r w:rsidRPr="00883454">
        <w:rPr>
          <w:rFonts w:ascii="Georgia" w:hAnsi="Georgia"/>
          <w:sz w:val="20"/>
          <w:szCs w:val="20"/>
        </w:rPr>
        <w:t xml:space="preserve"> </w:t>
      </w:r>
      <w:r w:rsidRPr="00883454">
        <w:rPr>
          <w:rFonts w:ascii="Georgia" w:hAnsi="Georgia" w:cs="Times New Roman"/>
          <w:color w:val="000000"/>
          <w:sz w:val="20"/>
          <w:szCs w:val="20"/>
        </w:rPr>
        <w:t xml:space="preserve">Though not dispositive, we note that Choudhury did not register the Sequence as a choreographic work. Choudhury’s Certificate of Registration for </w:t>
      </w:r>
      <w:r w:rsidRPr="00883454">
        <w:rPr>
          <w:rFonts w:ascii="Georgia" w:hAnsi="Georgia" w:cs="Times New Roman"/>
          <w:i/>
          <w:iCs/>
          <w:color w:val="000000"/>
          <w:sz w:val="20"/>
          <w:szCs w:val="20"/>
        </w:rPr>
        <w:t>Bikram’s Beginning Yoga Class</w:t>
      </w:r>
      <w:r w:rsidRPr="00883454">
        <w:rPr>
          <w:rFonts w:ascii="Georgia" w:hAnsi="Georgia" w:cs="Times New Roman"/>
          <w:color w:val="000000"/>
          <w:sz w:val="20"/>
          <w:szCs w:val="20"/>
        </w:rPr>
        <w:t xml:space="preserve"> is for “a nondramatic literary work.” When Choudhury tried to obtain a Certificate of Registration for the Sequence as a “work of performing arts,” the Copyright Office denied his application. The Copyright Office stated that the “concept or idea for a particular manner or style of exercise is not registrable.” Choudhury’s subsequent supplementary registration for a “compilation of exercises” is an extension of the original registration for “a nondramatic literary work,” and thus is itself a literary work registration.</w:t>
      </w:r>
    </w:p>
  </w:footnote>
  <w:footnote w:id="6">
    <w:p w:rsidR="00AF11F9" w:rsidRPr="00883454" w:rsidRDefault="00AF11F9" w:rsidP="00883454">
      <w:pPr>
        <w:pStyle w:val="FootnoteText"/>
        <w:jc w:val="both"/>
        <w:rPr>
          <w:rFonts w:ascii="Georgia" w:hAnsi="Georgia"/>
        </w:rPr>
      </w:pPr>
      <w:r w:rsidRPr="00883454">
        <w:rPr>
          <w:rStyle w:val="FootnoteReference"/>
          <w:rFonts w:ascii="Georgia" w:hAnsi="Georgia"/>
        </w:rPr>
        <w:t>12</w:t>
      </w:r>
      <w:r w:rsidRPr="00883454">
        <w:rPr>
          <w:rFonts w:ascii="Georgia" w:hAnsi="Georgia"/>
        </w:rPr>
        <w:t xml:space="preserve"> </w:t>
      </w:r>
      <w:r w:rsidRPr="00883454">
        <w:rPr>
          <w:rFonts w:ascii="Georgia" w:hAnsi="Georgia" w:cs="Times New Roman"/>
          <w:color w:val="000000"/>
        </w:rPr>
        <w:t xml:space="preserve">This interpretation is consistent with dictionary definitions. Webster’s defines “choreography” as “the art of symbolically representing dancing.” Webster’s Ninth New Collegiate Dictionary 237 (9th ed.1987). “Dance,” in turn, is defined as “a series of rhythmic and patterned bodily movements usually performed to music.” </w:t>
      </w:r>
      <w:r w:rsidRPr="00883454">
        <w:rPr>
          <w:rFonts w:ascii="Georgia" w:hAnsi="Georgia" w:cs="Times New Roman"/>
          <w:i/>
          <w:iCs/>
          <w:color w:val="000000"/>
        </w:rPr>
        <w:t>Id.</w:t>
      </w:r>
      <w:r w:rsidRPr="00883454">
        <w:rPr>
          <w:rFonts w:ascii="Georgia" w:hAnsi="Georgia" w:cs="Times New Roman"/>
          <w:color w:val="000000"/>
        </w:rPr>
        <w:t xml:space="preserve"> at 324.</w:t>
      </w:r>
    </w:p>
  </w:footnote>
  <w:footnote w:id="7">
    <w:p w:rsidR="00AF11F9" w:rsidRPr="00883454" w:rsidRDefault="00AF11F9" w:rsidP="00883454">
      <w:pPr>
        <w:widowControl w:val="0"/>
        <w:autoSpaceDE w:val="0"/>
        <w:autoSpaceDN w:val="0"/>
        <w:adjustRightInd w:val="0"/>
        <w:spacing w:after="0" w:line="240" w:lineRule="auto"/>
        <w:jc w:val="both"/>
        <w:rPr>
          <w:rFonts w:ascii="Georgia" w:hAnsi="Georgia" w:cs="Times New Roman"/>
          <w:color w:val="000000"/>
          <w:sz w:val="20"/>
          <w:szCs w:val="20"/>
        </w:rPr>
      </w:pPr>
      <w:r w:rsidRPr="00883454">
        <w:rPr>
          <w:rStyle w:val="FootnoteReference"/>
          <w:rFonts w:ascii="Georgia" w:hAnsi="Georgia"/>
          <w:sz w:val="20"/>
          <w:szCs w:val="20"/>
        </w:rPr>
        <w:t>13</w:t>
      </w:r>
      <w:r w:rsidRPr="00883454">
        <w:rPr>
          <w:rFonts w:ascii="Georgia" w:hAnsi="Georgia"/>
          <w:sz w:val="20"/>
          <w:szCs w:val="20"/>
        </w:rPr>
        <w:t xml:space="preserve"> </w:t>
      </w:r>
      <w:r w:rsidRPr="00883454">
        <w:rPr>
          <w:rFonts w:ascii="Georgia" w:hAnsi="Georgia" w:cs="Times New Roman"/>
          <w:i/>
          <w:iCs/>
          <w:color w:val="000000"/>
          <w:sz w:val="20"/>
          <w:szCs w:val="20"/>
        </w:rPr>
        <w:t xml:space="preserve">See How </w:t>
      </w:r>
      <w:proofErr w:type="gramStart"/>
      <w:r w:rsidRPr="00883454">
        <w:rPr>
          <w:rFonts w:ascii="Georgia" w:hAnsi="Georgia" w:cs="Times New Roman"/>
          <w:i/>
          <w:iCs/>
          <w:color w:val="000000"/>
          <w:sz w:val="20"/>
          <w:szCs w:val="20"/>
        </w:rPr>
        <w:t>To</w:t>
      </w:r>
      <w:proofErr w:type="gramEnd"/>
      <w:r w:rsidRPr="00883454">
        <w:rPr>
          <w:rFonts w:ascii="Georgia" w:hAnsi="Georgia" w:cs="Times New Roman"/>
          <w:i/>
          <w:iCs/>
          <w:color w:val="000000"/>
          <w:sz w:val="20"/>
          <w:szCs w:val="20"/>
        </w:rPr>
        <w:t xml:space="preserve"> Do the ‘Lawn Mower’ (Dance),</w:t>
      </w:r>
      <w:r w:rsidRPr="00883454">
        <w:rPr>
          <w:rFonts w:ascii="Georgia" w:hAnsi="Georgia" w:cs="Times New Roman"/>
          <w:color w:val="000000"/>
          <w:sz w:val="20"/>
          <w:szCs w:val="20"/>
        </w:rPr>
        <w:t xml:space="preserve"> </w:t>
      </w:r>
      <w:proofErr w:type="spellStart"/>
      <w:r w:rsidRPr="00883454">
        <w:rPr>
          <w:rFonts w:ascii="Georgia" w:hAnsi="Georgia" w:cs="Times New Roman"/>
          <w:color w:val="000000"/>
          <w:sz w:val="20"/>
          <w:szCs w:val="20"/>
        </w:rPr>
        <w:t>WikiHow</w:t>
      </w:r>
      <w:proofErr w:type="spellEnd"/>
      <w:r w:rsidRPr="00883454">
        <w:rPr>
          <w:rFonts w:ascii="Georgia" w:hAnsi="Georgia" w:cs="Times New Roman"/>
          <w:color w:val="000000"/>
          <w:sz w:val="20"/>
          <w:szCs w:val="20"/>
        </w:rPr>
        <w:t xml:space="preserve">, http://www.wikihow.com/Do–the–% 22Lawn–Mower% 22–(Dance) (last visited Sept. 16, 2015); </w:t>
      </w:r>
      <w:r w:rsidRPr="00883454">
        <w:rPr>
          <w:rFonts w:ascii="Georgia" w:hAnsi="Georgia" w:cs="Times New Roman"/>
          <w:i/>
          <w:iCs/>
          <w:color w:val="000000"/>
          <w:sz w:val="20"/>
          <w:szCs w:val="20"/>
        </w:rPr>
        <w:t>Shake It Like a Polaroid Picture,</w:t>
      </w:r>
      <w:r w:rsidRPr="00883454">
        <w:rPr>
          <w:rFonts w:ascii="Georgia" w:hAnsi="Georgia" w:cs="Times New Roman"/>
          <w:color w:val="000000"/>
          <w:sz w:val="20"/>
          <w:szCs w:val="20"/>
        </w:rPr>
        <w:t xml:space="preserve"> Urban Dictionary, http://www.urbandictionary.com/define.php?term=shake+it+like+a+Polaroid+picture (last visited Sept. 16,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D28"/>
    <w:rsid w:val="00106987"/>
    <w:rsid w:val="005046E8"/>
    <w:rsid w:val="00532D28"/>
    <w:rsid w:val="00533A28"/>
    <w:rsid w:val="005D0DDE"/>
    <w:rsid w:val="00665CB9"/>
    <w:rsid w:val="00783DD7"/>
    <w:rsid w:val="00883454"/>
    <w:rsid w:val="009B611D"/>
    <w:rsid w:val="009E063F"/>
    <w:rsid w:val="00A17CBF"/>
    <w:rsid w:val="00AF11F9"/>
    <w:rsid w:val="00F3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CBF"/>
  </w:style>
  <w:style w:type="paragraph" w:styleId="Footer">
    <w:name w:val="footer"/>
    <w:basedOn w:val="Normal"/>
    <w:link w:val="FooterChar"/>
    <w:uiPriority w:val="99"/>
    <w:unhideWhenUsed/>
    <w:rsid w:val="00A17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CBF"/>
  </w:style>
  <w:style w:type="paragraph" w:styleId="FootnoteText">
    <w:name w:val="footnote text"/>
    <w:basedOn w:val="Normal"/>
    <w:link w:val="FootnoteTextChar"/>
    <w:uiPriority w:val="99"/>
    <w:semiHidden/>
    <w:unhideWhenUsed/>
    <w:rsid w:val="001069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6987"/>
    <w:rPr>
      <w:sz w:val="20"/>
      <w:szCs w:val="20"/>
    </w:rPr>
  </w:style>
  <w:style w:type="character" w:styleId="FootnoteReference">
    <w:name w:val="footnote reference"/>
    <w:basedOn w:val="DefaultParagraphFont"/>
    <w:uiPriority w:val="99"/>
    <w:semiHidden/>
    <w:unhideWhenUsed/>
    <w:rsid w:val="001069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estlaw.com/Link/Document/FullText?findType=Y&amp;serNum=1992151589&amp;pubNum=0000350&amp;originatingDoc=Ib47565c86dec11e5b86bd602cb8781fa&amp;refType=RP&amp;fi=co_pp_sp_350_795&amp;originationContext=document&amp;vr=3.0&amp;rs=cblt1.0&amp;transitionType=DocumentItem&amp;contextData=(sc.Search)" TargetMode="External"/><Relationship Id="rId21" Type="http://schemas.openxmlformats.org/officeDocument/2006/relationships/hyperlink" Target="http://www.westlaw.com/Link/Document/FullText?findType=Y&amp;serNum=2003078650&amp;pubNum=0000708&amp;originatingDoc=Ib47565c86dec11e5b86bd602cb8781fa&amp;refType=RP&amp;originationContext=document&amp;vr=3.0&amp;rs=cblt1.0&amp;transitionType=DocumentItem&amp;contextData=(sc.Search)" TargetMode="External"/><Relationship Id="rId42" Type="http://schemas.openxmlformats.org/officeDocument/2006/relationships/hyperlink" Target="http://www.westlaw.com/Link/Document/FullText?findType=Y&amp;serNum=2002236739&amp;pubNum=0000506&amp;originatingDoc=Ib47565c86dec11e5b86bd602cb8781fa&amp;refType=RP&amp;fi=co_pp_sp_506_1334&amp;originationContext=document&amp;vr=3.0&amp;rs=cblt1.0&amp;transitionType=DocumentItem&amp;contextData=(sc.Search)" TargetMode="External"/><Relationship Id="rId47" Type="http://schemas.openxmlformats.org/officeDocument/2006/relationships/hyperlink" Target="http://www.westlaw.com/Link/Document/FullText?findType=Y&amp;serNum=1879195185&amp;pubNum=0000780&amp;originatingDoc=Ib47565c86dec11e5b86bd602cb8781fa&amp;refType=RP&amp;fi=co_pp_sp_780_100&amp;originationContext=document&amp;vr=3.0&amp;rs=cblt1.0&amp;transitionType=DocumentItem&amp;contextData=(sc.Search)" TargetMode="External"/><Relationship Id="rId63" Type="http://schemas.openxmlformats.org/officeDocument/2006/relationships/hyperlink" Target="http://www.westlaw.com/Link/Document/FullText?findType=l&amp;pubNum=1077005&amp;cite=UUID(I3EBA84836D-094354B800E-F480BFDD0A2)&amp;originatingDoc=Ib47565c86dec11e5b86bd602cb8781fa&amp;refType=SL&amp;originationContext=document&amp;vr=3.0&amp;rs=cblt1.0&amp;transitionType=DocumentItem&amp;contextData=(sc.Search)" TargetMode="External"/><Relationship Id="rId68" Type="http://schemas.openxmlformats.org/officeDocument/2006/relationships/hyperlink" Target="http://www.westlaw.com/Link/Document/FullText?findType=L&amp;pubNum=1000546&amp;cite=17USCAS102&amp;originatingDoc=Ib47565c86dec11e5b86bd602cb8781fa&amp;refType=LQ&amp;originationContext=document&amp;vr=3.0&amp;rs=cblt1.0&amp;transitionType=DocumentItem&amp;contextData=(sc.Search)" TargetMode="External"/><Relationship Id="rId2" Type="http://schemas.openxmlformats.org/officeDocument/2006/relationships/settings" Target="settings.xml"/><Relationship Id="rId16" Type="http://schemas.openxmlformats.org/officeDocument/2006/relationships/hyperlink" Target="http://www.westlaw.com/Link/Document/FullText?findType=L&amp;pubNum=1000546&amp;cite=17USCAS102&amp;originatingDoc=Ib47565c86dec11e5b86bd602cb8781fa&amp;refType=RB&amp;originationContext=document&amp;vr=3.0&amp;rs=cblt1.0&amp;transitionType=DocumentItem&amp;contextData=(sc.Search)" TargetMode="External"/><Relationship Id="rId29" Type="http://schemas.openxmlformats.org/officeDocument/2006/relationships/hyperlink" Target="http://www.westlaw.com/Link/Document/FullText?findType=Y&amp;serNum=1879195185&amp;pubNum=0000780&amp;originatingDoc=Ib47565c86dec11e5b86bd602cb8781fa&amp;refType=RP&amp;fi=co_pp_sp_780_102&amp;originationContext=document&amp;vr=3.0&amp;rs=cblt1.0&amp;transitionType=DocumentItem&amp;contextData=(sc.Search)" TargetMode="External"/><Relationship Id="rId11" Type="http://schemas.openxmlformats.org/officeDocument/2006/relationships/hyperlink" Target="http://www.westlaw.com/Link/Document/FullText?findType=L&amp;pubNum=1000546&amp;cite=17USCAS102&amp;originatingDoc=Ib47565c86dec11e5b86bd602cb8781fa&amp;refType=RB&amp;originationContext=document&amp;vr=3.0&amp;rs=cblt1.0&amp;transitionType=DocumentItem&amp;contextData=(sc.Search)" TargetMode="External"/><Relationship Id="rId24" Type="http://schemas.openxmlformats.org/officeDocument/2006/relationships/hyperlink" Target="http://www.westlaw.com/Link/Document/FullText?findType=Y&amp;serNum=1985125844&amp;pubNum=0000708&amp;originatingDoc=Ib47565c86dec11e5b86bd602cb8781fa&amp;refType=RP&amp;originationContext=document&amp;vr=3.0&amp;rs=cblt1.0&amp;transitionType=DocumentItem&amp;contextData=(sc.Search)" TargetMode="External"/><Relationship Id="rId32" Type="http://schemas.openxmlformats.org/officeDocument/2006/relationships/hyperlink" Target="http://www.westlaw.com/Link/Document/FullText?findType=Y&amp;serNum=2002236739&amp;pubNum=0000506&amp;originatingDoc=Ib47565c86dec11e5b86bd602cb8781fa&amp;refType=RP&amp;fi=co_pp_sp_506_1334&amp;originationContext=document&amp;vr=3.0&amp;rs=cblt1.0&amp;transitionType=DocumentItem&amp;contextData=(sc.Search)" TargetMode="External"/><Relationship Id="rId37" Type="http://schemas.openxmlformats.org/officeDocument/2006/relationships/hyperlink" Target="http://www.westlaw.com/Link/Document/FullText?findType=Y&amp;serNum=1879195185&amp;pubNum=0000780&amp;originatingDoc=Ib47565c86dec11e5b86bd602cb8781fa&amp;refType=RP&amp;originationContext=document&amp;vr=3.0&amp;rs=cblt1.0&amp;transitionType=DocumentItem&amp;contextData=(sc.Search)" TargetMode="External"/><Relationship Id="rId40" Type="http://schemas.openxmlformats.org/officeDocument/2006/relationships/hyperlink" Target="http://www.westlaw.com/Link/Document/FullText?findType=Y&amp;serNum=1879195185&amp;pubNum=0000780&amp;originatingDoc=Ib47565c86dec11e5b86bd602cb8781fa&amp;refType=RP&amp;fi=co_pp_sp_780_105&amp;originationContext=document&amp;vr=3.0&amp;rs=cblt1.0&amp;transitionType=DocumentItem&amp;contextData=(sc.Search)" TargetMode="External"/><Relationship Id="rId45" Type="http://schemas.openxmlformats.org/officeDocument/2006/relationships/hyperlink" Target="http://www.westlaw.com/Link/Document/FullText?findType=Y&amp;serNum=1971111728&amp;pubNum=0000350&amp;originatingDoc=Ib47565c86dec11e5b86bd602cb8781fa&amp;refType=RP&amp;fi=co_pp_sp_350_742&amp;originationContext=document&amp;vr=3.0&amp;rs=cblt1.0&amp;transitionType=DocumentItem&amp;contextData=(sc.Search)" TargetMode="External"/><Relationship Id="rId53" Type="http://schemas.openxmlformats.org/officeDocument/2006/relationships/hyperlink" Target="http://www.westlaw.com/Link/Document/FullText?findType=L&amp;pubNum=1000546&amp;cite=17USCAS103&amp;originatingDoc=Ib47565c86dec11e5b86bd602cb8781fa&amp;refType=LQ&amp;originationContext=document&amp;vr=3.0&amp;rs=cblt1.0&amp;transitionType=DocumentItem&amp;contextData=(sc.Search)" TargetMode="External"/><Relationship Id="rId58" Type="http://schemas.openxmlformats.org/officeDocument/2006/relationships/hyperlink" Target="http://www.westlaw.com/Link/Document/FullText?findType=Y&amp;serNum=1991060551&amp;pubNum=0000708&amp;originatingDoc=Ib47565c86dec11e5b86bd602cb8781fa&amp;refType=RP&amp;originationContext=document&amp;vr=3.0&amp;rs=cblt1.0&amp;transitionType=DocumentItem&amp;contextData=(sc.Search)" TargetMode="External"/><Relationship Id="rId66" Type="http://schemas.openxmlformats.org/officeDocument/2006/relationships/hyperlink" Target="http://www.westlaw.com/Link/Document/FullText?findType=Y&amp;serNum=0100747631&amp;pubNum=0100014&amp;originatingDoc=Ib47565c86dec11e5b86bd602cb8781fa&amp;refType=TV&amp;originationContext=document&amp;vr=3.0&amp;rs=cblt1.0&amp;transitionType=DocumentItem&amp;contextData=(sc.Search)" TargetMode="External"/><Relationship Id="rId74" Type="http://schemas.openxmlformats.org/officeDocument/2006/relationships/hyperlink" Target="http://www.westlaw.com/Link/Document/FullText?findType=L&amp;pubNum=1000546&amp;cite=17USCAS102&amp;originatingDoc=Ib47565c86dec11e5b86bd602cb8781fa&amp;refType=RB&amp;originationContext=document&amp;vr=3.0&amp;rs=cblt1.0&amp;transitionType=DocumentItem&amp;contextData=(sc.Search)" TargetMode="External"/><Relationship Id="rId5" Type="http://schemas.openxmlformats.org/officeDocument/2006/relationships/endnotes" Target="endnotes.xml"/><Relationship Id="rId61" Type="http://schemas.openxmlformats.org/officeDocument/2006/relationships/hyperlink" Target="http://www.westlaw.com/Link/Document/FullText?findType=Y&amp;serNum=1993164322&amp;pubNum=0000350&amp;originatingDoc=Ib47565c86dec11e5b86bd602cb8781fa&amp;refType=RP&amp;fi=co_pp_sp_350_1443&amp;originationContext=document&amp;vr=3.0&amp;rs=cblt1.0&amp;transitionType=DocumentItem&amp;contextData=(sc.Search)" TargetMode="External"/><Relationship Id="rId19" Type="http://schemas.openxmlformats.org/officeDocument/2006/relationships/hyperlink" Target="http://www.westlaw.com/Link/Document/FullText?findType=Y&amp;serNum=1991060551&amp;pubNum=0000708&amp;originatingDoc=Ib47565c86dec11e5b86bd602cb8781fa&amp;refType=RP&amp;originationContext=document&amp;vr=3.0&amp;rs=cblt1.0&amp;transitionType=DocumentItem&amp;contextData=(sc.Search)" TargetMode="External"/><Relationship Id="rId14" Type="http://schemas.openxmlformats.org/officeDocument/2006/relationships/hyperlink" Target="http://www.westlaw.com/Link/Document/FullText?findType=Y&amp;serNum=2003078650&amp;pubNum=0000708&amp;originatingDoc=Ib47565c86dec11e5b86bd602cb8781fa&amp;refType=RP&amp;originationContext=document&amp;vr=3.0&amp;rs=cblt1.0&amp;transitionType=DocumentItem&amp;contextData=(sc.Search)" TargetMode="External"/><Relationship Id="rId22" Type="http://schemas.openxmlformats.org/officeDocument/2006/relationships/hyperlink" Target="http://www.westlaw.com/Link/Document/FullText?findType=Y&amp;serNum=1966112593&amp;pubNum=0000708&amp;originatingDoc=Ib47565c86dec11e5b86bd602cb8781fa&amp;refType=RP&amp;originationContext=document&amp;vr=3.0&amp;rs=cblt1.0&amp;transitionType=DocumentItem&amp;contextData=(sc.Search)" TargetMode="External"/><Relationship Id="rId27" Type="http://schemas.openxmlformats.org/officeDocument/2006/relationships/hyperlink" Target="http://www.westlaw.com/Link/Document/FullText?findType=Y&amp;serNum=1879195185&amp;pubNum=0000780&amp;originatingDoc=Ib47565c86dec11e5b86bd602cb8781fa&amp;refType=RP&amp;originationContext=document&amp;vr=3.0&amp;rs=cblt1.0&amp;transitionType=DocumentItem&amp;contextData=(sc.Search)" TargetMode="External"/><Relationship Id="rId30" Type="http://schemas.openxmlformats.org/officeDocument/2006/relationships/hyperlink" Target="http://www.westlaw.com/Link/Document/FullText?findType=Y&amp;serNum=1879195185&amp;pubNum=0000780&amp;originatingDoc=Ib47565c86dec11e5b86bd602cb8781fa&amp;refType=RP&amp;fi=co_pp_sp_780_105&amp;originationContext=document&amp;vr=3.0&amp;rs=cblt1.0&amp;transitionType=DocumentItem&amp;contextData=(sc.Search)" TargetMode="External"/><Relationship Id="rId35" Type="http://schemas.openxmlformats.org/officeDocument/2006/relationships/hyperlink" Target="http://www.westlaw.com/Link/Document/FullText?findType=Y&amp;serNum=1938121613&amp;pubNum=0000345&amp;originatingDoc=Ib47565c86dec11e5b86bd602cb8781fa&amp;refType=RP&amp;originationContext=document&amp;vr=3.0&amp;rs=cblt1.0&amp;transitionType=DocumentItem&amp;contextData=(sc.Search)" TargetMode="External"/><Relationship Id="rId43" Type="http://schemas.openxmlformats.org/officeDocument/2006/relationships/hyperlink" Target="http://www.westlaw.com/Link/Document/FullText?findType=L&amp;pubNum=1000546&amp;cite=17USCAS102&amp;originatingDoc=Ib47565c86dec11e5b86bd602cb8781fa&amp;refType=RB&amp;originationContext=document&amp;vr=3.0&amp;rs=cblt1.0&amp;transitionType=DocumentItem&amp;contextData=(sc.Search)" TargetMode="External"/><Relationship Id="rId48" Type="http://schemas.openxmlformats.org/officeDocument/2006/relationships/hyperlink" Target="http://www.westlaw.com/Link/Document/FullText?findType=Y&amp;serNum=1879195185&amp;pubNum=0000780&amp;originatingDoc=Ib47565c86dec11e5b86bd602cb8781fa&amp;refType=RP&amp;fi=co_pp_sp_780_103&amp;originationContext=document&amp;vr=3.0&amp;rs=cblt1.0&amp;transitionType=DocumentItem&amp;contextData=(sc.Search)" TargetMode="External"/><Relationship Id="rId56" Type="http://schemas.openxmlformats.org/officeDocument/2006/relationships/hyperlink" Target="http://www.westlaw.com/Link/Document/FullText?findType=L&amp;pubNum=1000546&amp;cite=17USCAS102&amp;originatingDoc=Ib47565c86dec11e5b86bd602cb8781fa&amp;refType=LQ&amp;originationContext=document&amp;vr=3.0&amp;rs=cblt1.0&amp;transitionType=DocumentItem&amp;contextData=(sc.Search)" TargetMode="External"/><Relationship Id="rId64" Type="http://schemas.openxmlformats.org/officeDocument/2006/relationships/hyperlink" Target="http://www.westlaw.com/Link/Document/FullText?findType=L&amp;pubNum=1000546&amp;cite=17USCAS102&amp;originatingDoc=Ib47565c86dec11e5b86bd602cb8781fa&amp;refType=RB&amp;originationContext=document&amp;vr=3.0&amp;rs=cblt1.0&amp;transitionType=DocumentItem&amp;contextData=(sc.Search)" TargetMode="External"/><Relationship Id="rId69" Type="http://schemas.openxmlformats.org/officeDocument/2006/relationships/hyperlink" Target="http://www.westlaw.com/Link/Document/FullText?findType=Y&amp;serNum=2026877422&amp;pubNum=0000708&amp;originatingDoc=Ib47565c86dec11e5b86bd602cb8781fa&amp;refType=RP&amp;fi=co_pp_sp_708_892&amp;originationContext=document&amp;vr=3.0&amp;rs=cblt1.0&amp;transitionType=DocumentItem&amp;contextData=(sc.Search)" TargetMode="External"/><Relationship Id="rId8" Type="http://schemas.openxmlformats.org/officeDocument/2006/relationships/hyperlink" Target="http://www.westlaw.com/Link/Document/FullText?findType=Y&amp;serNum=2013074182&amp;pubNum=0000506&amp;originatingDoc=Ib47565c86dec11e5b86bd602cb8781fa&amp;refType=RP&amp;fi=co_pp_sp_506_955&amp;originationContext=document&amp;vr=3.0&amp;rs=cblt1.0&amp;transitionType=DocumentItem&amp;contextData=(sc.Search)" TargetMode="External"/><Relationship Id="rId51" Type="http://schemas.openxmlformats.org/officeDocument/2006/relationships/hyperlink" Target="http://www.westlaw.com/Link/Document/FullText?findType=L&amp;pubNum=1000546&amp;cite=17USCAS102&amp;originatingDoc=Ib47565c86dec11e5b86bd602cb8781fa&amp;refType=LQ&amp;originationContext=document&amp;vr=3.0&amp;rs=cblt1.0&amp;transitionType=DocumentItem&amp;contextData=(sc.Search)" TargetMode="External"/><Relationship Id="rId72" Type="http://schemas.openxmlformats.org/officeDocument/2006/relationships/hyperlink" Target="http://www.westlaw.com/Link/Document/FullText?findType=Y&amp;serNum=1991060551&amp;pubNum=0000708&amp;originatingDoc=Ib47565c86dec11e5b86bd602cb8781fa&amp;refType=RP&amp;originationContext=document&amp;vr=3.0&amp;rs=cblt1.0&amp;transitionType=DocumentItem&amp;contextData=(sc.Search)" TargetMode="External"/><Relationship Id="rId3" Type="http://schemas.openxmlformats.org/officeDocument/2006/relationships/webSettings" Target="webSettings.xml"/><Relationship Id="rId12" Type="http://schemas.openxmlformats.org/officeDocument/2006/relationships/hyperlink" Target="http://www.westlaw.com/Link/Document/FullText?findType=L&amp;pubNum=1000546&amp;cite=17USCAS102&amp;originatingDoc=Ib47565c86dec11e5b86bd602cb8781fa&amp;refType=RB&amp;originationContext=document&amp;vr=3.0&amp;rs=cblt1.0&amp;transitionType=DocumentItem&amp;contextData=(sc.Search)" TargetMode="External"/><Relationship Id="rId17" Type="http://schemas.openxmlformats.org/officeDocument/2006/relationships/hyperlink" Target="http://www.westlaw.com/Link/Document/FullText?findType=Y&amp;serNum=0100747631&amp;pubNum=0100014&amp;originatingDoc=Ib47565c86dec11e5b86bd602cb8781fa&amp;refType=TV&amp;originationContext=document&amp;vr=3.0&amp;rs=cblt1.0&amp;transitionType=DocumentItem&amp;contextData=(sc.Search)" TargetMode="External"/><Relationship Id="rId25" Type="http://schemas.openxmlformats.org/officeDocument/2006/relationships/hyperlink" Target="http://www.westlaw.com/Link/Document/FullText?findType=Y&amp;serNum=2003078650&amp;pubNum=0000708&amp;originatingDoc=Ib47565c86dec11e5b86bd602cb8781fa&amp;refType=RP&amp;originationContext=document&amp;vr=3.0&amp;rs=cblt1.0&amp;transitionType=DocumentItem&amp;contextData=(sc.Search)" TargetMode="External"/><Relationship Id="rId33" Type="http://schemas.openxmlformats.org/officeDocument/2006/relationships/hyperlink" Target="http://www.westlaw.com/Link/Document/FullText?findType=Y&amp;serNum=1996154696&amp;pubNum=0000506&amp;originatingDoc=Ib47565c86dec11e5b86bd602cb8781fa&amp;refType=RP&amp;originationContext=document&amp;vr=3.0&amp;rs=cblt1.0&amp;transitionType=DocumentItem&amp;contextData=(sc.Search)" TargetMode="External"/><Relationship Id="rId38" Type="http://schemas.openxmlformats.org/officeDocument/2006/relationships/hyperlink" Target="http://www.westlaw.com/Link/Document/FullText?findType=L&amp;pubNum=1000546&amp;cite=17USCAS102&amp;originatingDoc=Ib47565c86dec11e5b86bd602cb8781fa&amp;refType=RB&amp;originationContext=document&amp;vr=3.0&amp;rs=cblt1.0&amp;transitionType=DocumentItem&amp;contextData=(sc.Search)" TargetMode="External"/><Relationship Id="rId46" Type="http://schemas.openxmlformats.org/officeDocument/2006/relationships/hyperlink" Target="http://www.westlaw.com/Link/Document/FullText?findType=Y&amp;serNum=1879195185&amp;pubNum=0000780&amp;originatingDoc=Ib47565c86dec11e5b86bd602cb8781fa&amp;refType=RP&amp;fi=co_pp_sp_780_105&amp;originationContext=document&amp;vr=3.0&amp;rs=cblt1.0&amp;transitionType=DocumentItem&amp;contextData=(sc.Search)" TargetMode="External"/><Relationship Id="rId59" Type="http://schemas.openxmlformats.org/officeDocument/2006/relationships/hyperlink" Target="http://www.westlaw.com/Link/Document/FullText?findType=Y&amp;serNum=1879195185&amp;pubNum=0000780&amp;originatingDoc=Ib47565c86dec11e5b86bd602cb8781fa&amp;refType=RP&amp;fi=co_pp_sp_780_102&amp;originationContext=document&amp;vr=3.0&amp;rs=cblt1.0&amp;transitionType=DocumentItem&amp;contextData=(sc.Search)" TargetMode="External"/><Relationship Id="rId67" Type="http://schemas.openxmlformats.org/officeDocument/2006/relationships/hyperlink" Target="http://www.westlaw.com/Link/Document/FullText?findType=Y&amp;serNum=1986122372&amp;pubNum=0000350&amp;originatingDoc=Ib47565c86dec11e5b86bd602cb8781fa&amp;refType=RP&amp;fi=co_pp_sp_350_161&amp;originationContext=document&amp;vr=3.0&amp;rs=cblt1.0&amp;transitionType=DocumentItem&amp;contextData=(sc.Search)" TargetMode="External"/><Relationship Id="rId20" Type="http://schemas.openxmlformats.org/officeDocument/2006/relationships/hyperlink" Target="http://www.westlaw.com/Link/Document/FullText?findType=L&amp;pubNum=1000583&amp;cite=USCOARTIS8CL8&amp;originatingDoc=Ib47565c86dec11e5b86bd602cb8781fa&amp;refType=LQ&amp;originationContext=document&amp;vr=3.0&amp;rs=cblt1.0&amp;transitionType=DocumentItem&amp;contextData=(sc.Search)" TargetMode="External"/><Relationship Id="rId41" Type="http://schemas.openxmlformats.org/officeDocument/2006/relationships/hyperlink" Target="http://www.westlaw.com/Link/Document/FullText?findType=Y&amp;serNum=1992181455&amp;pubNum=0000350&amp;originatingDoc=Ib47565c86dec11e5b86bd602cb8781fa&amp;refType=RP&amp;fi=co_pp_sp_350_1526&amp;originationContext=document&amp;vr=3.0&amp;rs=cblt1.0&amp;transitionType=DocumentItem&amp;contextData=(sc.Search)" TargetMode="External"/><Relationship Id="rId54" Type="http://schemas.openxmlformats.org/officeDocument/2006/relationships/hyperlink" Target="http://www.westlaw.com/Link/Document/FullText?findType=L&amp;pubNum=1000546&amp;cite=17USCAS102&amp;originatingDoc=Ib47565c86dec11e5b86bd602cb8781fa&amp;refType=LQ&amp;originationContext=document&amp;vr=3.0&amp;rs=cblt1.0&amp;transitionType=DocumentItem&amp;contextData=(sc.Search)" TargetMode="External"/><Relationship Id="rId62" Type="http://schemas.openxmlformats.org/officeDocument/2006/relationships/hyperlink" Target="http://www.westlaw.com/Link/Document/FullText?findType=Y&amp;serNum=2006397716&amp;pubNum=0000506&amp;originatingDoc=Ib47565c86dec11e5b86bd602cb8781fa&amp;refType=RP&amp;fi=co_pp_sp_506_711&amp;originationContext=document&amp;vr=3.0&amp;rs=cblt1.0&amp;transitionType=DocumentItem&amp;contextData=(sc.Search)" TargetMode="External"/><Relationship Id="rId70" Type="http://schemas.openxmlformats.org/officeDocument/2006/relationships/hyperlink" Target="http://www.westlaw.com/Link/Document/FullText?findType=L&amp;pubNum=1000546&amp;cite=17USCAS102&amp;originatingDoc=Ib47565c86dec11e5b86bd602cb8781fa&amp;refType=RB&amp;originationContext=document&amp;vr=3.0&amp;rs=cblt1.0&amp;transitionType=DocumentItem&amp;contextData=(sc.Search)"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5" Type="http://schemas.openxmlformats.org/officeDocument/2006/relationships/hyperlink" Target="http://www.westlaw.com/Link/Document/FullText?findType=Y&amp;serNum=1987030540&amp;pubNum=0000350&amp;originatingDoc=Ib47565c86dec11e5b86bd602cb8781fa&amp;refType=RP&amp;fi=co_pp_sp_350_529&amp;originationContext=document&amp;vr=3.0&amp;rs=cblt1.0&amp;transitionType=DocumentItem&amp;contextData=(sc.Search)" TargetMode="External"/><Relationship Id="rId23" Type="http://schemas.openxmlformats.org/officeDocument/2006/relationships/hyperlink" Target="http://www.westlaw.com/Link/Document/FullText?findType=Y&amp;serNum=1991060551&amp;pubNum=0000708&amp;originatingDoc=Ib47565c86dec11e5b86bd602cb8781fa&amp;refType=RP&amp;originationContext=document&amp;vr=3.0&amp;rs=cblt1.0&amp;transitionType=DocumentItem&amp;contextData=(sc.Search)" TargetMode="External"/><Relationship Id="rId28" Type="http://schemas.openxmlformats.org/officeDocument/2006/relationships/hyperlink" Target="http://www.westlaw.com/Link/Document/FullText?findType=Y&amp;serNum=1879195185&amp;pubNum=0000780&amp;originatingDoc=Ib47565c86dec11e5b86bd602cb8781fa&amp;refType=RP&amp;fi=co_pp_sp_780_99&amp;originationContext=document&amp;vr=3.0&amp;rs=cblt1.0&amp;transitionType=DocumentItem&amp;contextData=(sc.Search)" TargetMode="External"/><Relationship Id="rId36" Type="http://schemas.openxmlformats.org/officeDocument/2006/relationships/hyperlink" Target="http://www.westlaw.com/Link/Document/FullText?findType=Y&amp;serNum=1938121613&amp;pubNum=0000345&amp;originatingDoc=Ib47565c86dec11e5b86bd602cb8781fa&amp;refType=RP&amp;fi=co_pp_sp_345_630&amp;originationContext=document&amp;vr=3.0&amp;rs=cblt1.0&amp;transitionType=DocumentItem&amp;contextData=(sc.Search)" TargetMode="External"/><Relationship Id="rId49" Type="http://schemas.openxmlformats.org/officeDocument/2006/relationships/hyperlink" Target="http://www.westlaw.com/Link/Document/FullText?findType=Y&amp;serNum=2029715825&amp;pubNum=0000506&amp;originatingDoc=Ib47565c86dec11e5b86bd602cb8781fa&amp;refType=RP&amp;fi=co_pp_sp_506_1111&amp;originationContext=document&amp;vr=3.0&amp;rs=cblt1.0&amp;transitionType=DocumentItem&amp;contextData=(sc.Search)" TargetMode="External"/><Relationship Id="rId57" Type="http://schemas.openxmlformats.org/officeDocument/2006/relationships/hyperlink" Target="http://www.westlaw.com/Link/Document/FullText?findType=Y&amp;serNum=1991060551&amp;pubNum=0000708&amp;originatingDoc=Ib47565c86dec11e5b86bd602cb8781fa&amp;refType=RP&amp;originationContext=document&amp;vr=3.0&amp;rs=cblt1.0&amp;transitionType=DocumentItem&amp;contextData=(sc.Search)" TargetMode="External"/><Relationship Id="rId10" Type="http://schemas.openxmlformats.org/officeDocument/2006/relationships/hyperlink" Target="http://www.westlaw.com/Link/Document/FullText?findType=L&amp;pubNum=1000546&amp;cite=17USCAS102&amp;originatingDoc=Ib47565c86dec11e5b86bd602cb8781fa&amp;refType=RB&amp;originationContext=document&amp;vr=3.0&amp;rs=cblt1.0&amp;transitionType=DocumentItem&amp;contextData=(sc.Search)" TargetMode="External"/><Relationship Id="rId31" Type="http://schemas.openxmlformats.org/officeDocument/2006/relationships/hyperlink" Target="http://www.westlaw.com/Link/Document/FullText?findType=Y&amp;serNum=2002236739&amp;pubNum=0000506&amp;originatingDoc=Ib47565c86dec11e5b86bd602cb8781fa&amp;refType=RP&amp;originationContext=document&amp;vr=3.0&amp;rs=cblt1.0&amp;transitionType=DocumentItem&amp;contextData=(sc.Search)" TargetMode="External"/><Relationship Id="rId44" Type="http://schemas.openxmlformats.org/officeDocument/2006/relationships/hyperlink" Target="http://www.westlaw.com/Link/Document/FullText?findType=Y&amp;serNum=1999263864&amp;pubNum=0000506&amp;originatingDoc=Ib47565c86dec11e5b86bd602cb8781fa&amp;refType=RP&amp;fi=co_pp_sp_506_1262&amp;originationContext=document&amp;vr=3.0&amp;rs=cblt1.0&amp;transitionType=DocumentItem&amp;contextData=(sc.Search)" TargetMode="External"/><Relationship Id="rId52" Type="http://schemas.openxmlformats.org/officeDocument/2006/relationships/hyperlink" Target="http://www.westlaw.com/Link/Document/FullText?findType=L&amp;pubNum=1000546&amp;cite=17USCAS103&amp;originatingDoc=Ib47565c86dec11e5b86bd602cb8781fa&amp;refType=RB&amp;originationContext=document&amp;vr=3.0&amp;rs=cblt1.0&amp;transitionType=DocumentItem&amp;contextData=(sc.Search)" TargetMode="External"/><Relationship Id="rId60" Type="http://schemas.openxmlformats.org/officeDocument/2006/relationships/hyperlink" Target="http://www.westlaw.com/Link/Document/FullText?findType=Y&amp;serNum=1996154696&amp;pubNum=0000506&amp;originatingDoc=Ib47565c86dec11e5b86bd602cb8781fa&amp;refType=RP&amp;fi=co_pp_sp_506_480&amp;originationContext=document&amp;vr=3.0&amp;rs=cblt1.0&amp;transitionType=DocumentItem&amp;contextData=(sc.Search)" TargetMode="External"/><Relationship Id="rId65" Type="http://schemas.openxmlformats.org/officeDocument/2006/relationships/hyperlink" Target="http://www.westlaw.com/Link/Document/FullText?findType=Y&amp;serNum=1986122372&amp;pubNum=0000350&amp;originatingDoc=Ib47565c86dec11e5b86bd602cb8781fa&amp;refType=RP&amp;fi=co_pp_sp_350_160&amp;originationContext=document&amp;vr=3.0&amp;rs=cblt1.0&amp;transitionType=DocumentItem&amp;contextData=(sc.Search)" TargetMode="External"/><Relationship Id="rId73" Type="http://schemas.openxmlformats.org/officeDocument/2006/relationships/hyperlink" Target="http://www.westlaw.com/Link/Document/FullText?findType=L&amp;pubNum=1000546&amp;cite=17USCAS102&amp;originatingDoc=Ib47565c86dec11e5b86bd602cb8781fa&amp;refType=RB&amp;originationContext=document&amp;vr=3.0&amp;rs=cblt1.0&amp;transitionType=DocumentItem&amp;contextData=(sc.Search)" TargetMode="External"/><Relationship Id="rId4" Type="http://schemas.openxmlformats.org/officeDocument/2006/relationships/footnotes" Target="footnotes.xml"/><Relationship Id="rId9" Type="http://schemas.openxmlformats.org/officeDocument/2006/relationships/hyperlink" Target="http://www.westlaw.com/Link/Document/FullText?findType=Y&amp;serNum=2003467218&amp;pubNum=0000506&amp;originatingDoc=Ib47565c86dec11e5b86bd602cb8781fa&amp;refType=RP&amp;fi=co_pp_sp_506_1097&amp;originationContext=document&amp;vr=3.0&amp;rs=cblt1.0&amp;transitionType=DocumentItem&amp;contextData=(sc.Search)" TargetMode="External"/><Relationship Id="rId13" Type="http://schemas.openxmlformats.org/officeDocument/2006/relationships/hyperlink" Target="http://www.westlaw.com/Link/Document/FullText?findType=Y&amp;serNum=2026877422&amp;pubNum=0000708&amp;originatingDoc=Ib47565c86dec11e5b86bd602cb8781fa&amp;refType=RP&amp;fi=co_pp_sp_708_890&amp;originationContext=document&amp;vr=3.0&amp;rs=cblt1.0&amp;transitionType=DocumentItem&amp;contextData=(sc.Search)" TargetMode="External"/><Relationship Id="rId18" Type="http://schemas.openxmlformats.org/officeDocument/2006/relationships/hyperlink" Target="http://www.westlaw.com/Link/Document/FullText?findType=L&amp;pubNum=1000546&amp;cite=17USCAS102&amp;originatingDoc=Ib47565c86dec11e5b86bd602cb8781fa&amp;refType=RB&amp;originationContext=document&amp;vr=3.0&amp;rs=cblt1.0&amp;transitionType=DocumentItem&amp;contextData=(sc.Search)" TargetMode="External"/><Relationship Id="rId39" Type="http://schemas.openxmlformats.org/officeDocument/2006/relationships/hyperlink" Target="http://www.westlaw.com/Link/Document/FullText?findType=Y&amp;serNum=1879195185&amp;pubNum=0000780&amp;originatingDoc=Ib47565c86dec11e5b86bd602cb8781fa&amp;refType=RP&amp;fi=co_pp_sp_780_102&amp;originationContext=document&amp;vr=3.0&amp;rs=cblt1.0&amp;transitionType=DocumentItem&amp;contextData=(sc.Search)" TargetMode="External"/><Relationship Id="rId34" Type="http://schemas.openxmlformats.org/officeDocument/2006/relationships/hyperlink" Target="http://www.westlaw.com/Link/Document/FullText?findType=Y&amp;serNum=1996154696&amp;pubNum=0000506&amp;originatingDoc=Ib47565c86dec11e5b86bd602cb8781fa&amp;refType=RP&amp;fi=co_pp_sp_506_481&amp;originationContext=document&amp;vr=3.0&amp;rs=cblt1.0&amp;transitionType=DocumentItem&amp;contextData=(sc.Search)" TargetMode="External"/><Relationship Id="rId50" Type="http://schemas.openxmlformats.org/officeDocument/2006/relationships/hyperlink" Target="http://www.westlaw.com/Link/Document/FullText?findType=Y&amp;serNum=1975129809&amp;pubNum=0000708&amp;originatingDoc=Ib47565c86dec11e5b86bd602cb8781fa&amp;refType=RP&amp;originationContext=document&amp;vr=3.0&amp;rs=cblt1.0&amp;transitionType=DocumentItem&amp;contextData=(sc.Search)" TargetMode="External"/><Relationship Id="rId55" Type="http://schemas.openxmlformats.org/officeDocument/2006/relationships/hyperlink" Target="http://www.westlaw.com/Link/Document/FullText?findType=L&amp;pubNum=1000546&amp;cite=17USCAS102&amp;originatingDoc=Ib47565c86dec11e5b86bd602cb8781fa&amp;refType=LQ&amp;originationContext=document&amp;vr=3.0&amp;rs=cblt1.0&amp;transitionType=DocumentItem&amp;contextData=(sc.Search)" TargetMode="External"/><Relationship Id="rId76" Type="http://schemas.openxmlformats.org/officeDocument/2006/relationships/theme" Target="theme/theme1.xml"/><Relationship Id="rId7" Type="http://schemas.openxmlformats.org/officeDocument/2006/relationships/hyperlink" Target="http://www.westlaw.com/Link/Document/FullText?findType=h&amp;pubNum=176284&amp;cite=0231873901&amp;originatingDoc=Ib47565c86dec11e5b86bd602cb8781fa&amp;refType=RQ&amp;originationContext=document&amp;vr=3.0&amp;rs=cblt1.0&amp;transitionType=DocumentItem&amp;contextData=(sc.Search)" TargetMode="External"/><Relationship Id="rId71" Type="http://schemas.openxmlformats.org/officeDocument/2006/relationships/hyperlink" Target="http://www.westlaw.com/Link/Document/FullText?findType=L&amp;pubNum=1000546&amp;cite=17USCAS102&amp;originatingDoc=Ib47565c86dec11e5b86bd602cb8781fa&amp;refType=RB&amp;originationContext=document&amp;vr=3.0&amp;rs=cblt1.0&amp;transitionType=DocumentItem&amp;contextData=(sc.Searc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estlaw.com/Link/Document/FullText?findType=l&amp;pubNum=0001037&amp;cite=UUID(I25EFAB80BC3811E1A9128E57549DF743)&amp;originatingDoc=Ib47565c86dec11e5b86bd602cb8781fa&amp;refType=CP&amp;fi=co_pp_sp_1037_37605&amp;originationContext=document&amp;vr=3.0&amp;rs=cblt1.0&amp;transitionType=DocumentItem&amp;contextData=(sc.Search)" TargetMode="External"/><Relationship Id="rId2" Type="http://schemas.openxmlformats.org/officeDocument/2006/relationships/hyperlink" Target="http://www.westlaw.com/Link/Document/FullText?findType=l&amp;pubNum=0001037&amp;cite=UUID(I25EFAB80BC3811E1A9128E57549DF743)&amp;originatingDoc=Ib47565c86dec11e5b86bd602cb8781fa&amp;refType=CP&amp;fi=co_pp_sp_1037_37605&amp;originationContext=document&amp;vr=3.0&amp;rs=cblt1.0&amp;transitionType=DocumentItem&amp;contextData=(sc.Search)" TargetMode="External"/><Relationship Id="rId1" Type="http://schemas.openxmlformats.org/officeDocument/2006/relationships/hyperlink" Target="http://www.westlaw.com/Link/Document/FullText?findType=L&amp;pubNum=1000546&amp;cite=17USCAS410&amp;originatingDoc=Ib47565c86dec11e5b86bd602cb8781fa&amp;refType=RB&amp;originationContext=document&amp;vr=3.0&amp;rs=cblt1.0&amp;transitionType=DocumentItem&amp;contextData=(sc.Search)" TargetMode="External"/><Relationship Id="rId4" Type="http://schemas.openxmlformats.org/officeDocument/2006/relationships/hyperlink" Target="http://www.westlaw.com/Link/Document/FullText?findType=Y&amp;serNum=2013074182&amp;pubNum=0000506&amp;originatingDoc=Ib47565c86dec11e5b86bd602cb8781fa&amp;refType=RP&amp;fi=co_pp_sp_506_955&amp;originationContext=document&amp;vr=3.0&amp;rs=cblt1.0&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7758</Words>
  <Characters>44224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2015-12-30T15:46:00Z</dcterms:created>
  <dcterms:modified xsi:type="dcterms:W3CDTF">2015-12-30T15:48:00Z</dcterms:modified>
</cp:coreProperties>
</file>